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CD82C" w14:textId="716EB502" w:rsidR="002367F8" w:rsidRPr="00546476" w:rsidRDefault="00183243" w:rsidP="00340B17">
      <w:pPr>
        <w:pStyle w:val="CEPEtext"/>
        <w:spacing w:before="120"/>
        <w:jc w:val="right"/>
        <w:rPr>
          <w:sz w:val="24"/>
          <w:szCs w:val="22"/>
          <w:lang w:val="en-GB"/>
        </w:rPr>
      </w:pPr>
      <w:r w:rsidRPr="00546476">
        <w:rPr>
          <w:sz w:val="24"/>
          <w:szCs w:val="22"/>
          <w:lang w:val="en-GB"/>
        </w:rPr>
        <w:t xml:space="preserve">Brussels, </w:t>
      </w:r>
      <w:r w:rsidR="00E47B8E">
        <w:rPr>
          <w:sz w:val="24"/>
          <w:szCs w:val="22"/>
          <w:lang w:val="en-GB"/>
        </w:rPr>
        <w:t>May 2023</w:t>
      </w:r>
    </w:p>
    <w:p w14:paraId="1ABE4395" w14:textId="3C57C143" w:rsidR="00DE0356" w:rsidRDefault="00D75B33" w:rsidP="00C6162A">
      <w:pPr>
        <w:pStyle w:val="CEPEHeading1"/>
        <w:ind w:right="-142"/>
        <w:rPr>
          <w:sz w:val="56"/>
          <w:szCs w:val="40"/>
        </w:rPr>
      </w:pPr>
      <w:r>
        <w:rPr>
          <w:sz w:val="56"/>
          <w:szCs w:val="40"/>
        </w:rPr>
        <w:t>M</w:t>
      </w:r>
      <w:r w:rsidR="00ED075F" w:rsidRPr="00ED075F">
        <w:rPr>
          <w:sz w:val="56"/>
          <w:szCs w:val="40"/>
        </w:rPr>
        <w:t>icroplastics</w:t>
      </w:r>
    </w:p>
    <w:p w14:paraId="0D9DF618" w14:textId="77777777" w:rsidR="00BD25C5" w:rsidRPr="00BD25C5" w:rsidRDefault="00BD25C5" w:rsidP="00C6162A">
      <w:pPr>
        <w:pStyle w:val="CEPEHeading1"/>
        <w:ind w:right="-142"/>
        <w:rPr>
          <w:sz w:val="18"/>
          <w:szCs w:val="10"/>
        </w:rPr>
      </w:pPr>
    </w:p>
    <w:p w14:paraId="6DF8E6B8" w14:textId="29024C6E" w:rsidR="00A94555" w:rsidRPr="00F12490" w:rsidRDefault="00A94555" w:rsidP="007A66E1">
      <w:pPr>
        <w:spacing w:line="276" w:lineRule="auto"/>
        <w:jc w:val="both"/>
        <w:rPr>
          <w:rFonts w:asciiTheme="minorHAnsi" w:hAnsiTheme="minorHAnsi"/>
          <w:color w:val="2F5496" w:themeColor="accent1" w:themeShade="BF"/>
          <w:sz w:val="24"/>
          <w:szCs w:val="24"/>
          <w:lang w:val="en-GB"/>
        </w:rPr>
      </w:pPr>
      <w:r w:rsidRPr="00F12490">
        <w:rPr>
          <w:rFonts w:asciiTheme="minorHAnsi" w:hAnsiTheme="minorHAnsi"/>
          <w:color w:val="2F5496" w:themeColor="accent1" w:themeShade="BF"/>
          <w:sz w:val="24"/>
          <w:szCs w:val="24"/>
          <w:lang w:val="en-GB"/>
        </w:rPr>
        <w:t>The European Union is currently finalizing regulation on primary microplastics</w:t>
      </w:r>
      <w:r w:rsidRPr="009A5E73">
        <w:rPr>
          <w:rFonts w:asciiTheme="minorHAnsi" w:hAnsiTheme="minorHAnsi"/>
          <w:color w:val="2F5496" w:themeColor="accent1" w:themeShade="BF"/>
          <w:sz w:val="24"/>
          <w:szCs w:val="24"/>
          <w:vertAlign w:val="superscript"/>
          <w:lang w:val="en-GB"/>
        </w:rPr>
        <w:footnoteReference w:id="1"/>
      </w:r>
      <w:r w:rsidRPr="00F12490">
        <w:rPr>
          <w:rFonts w:asciiTheme="minorHAnsi" w:hAnsiTheme="minorHAnsi"/>
          <w:color w:val="2F5496" w:themeColor="accent1" w:themeShade="BF"/>
          <w:sz w:val="24"/>
          <w:szCs w:val="24"/>
          <w:lang w:val="en-GB"/>
        </w:rPr>
        <w:t xml:space="preserve"> (those intentionally added) as part of REACH. For paints, this may lead to new reporting and labelling requirements. The European Commission is also working on measures to reduce secondary microplastics</w:t>
      </w:r>
      <w:r w:rsidRPr="00574A52">
        <w:rPr>
          <w:rFonts w:asciiTheme="minorHAnsi" w:hAnsiTheme="minorHAnsi"/>
          <w:color w:val="2F5496" w:themeColor="accent1" w:themeShade="BF"/>
          <w:sz w:val="24"/>
          <w:szCs w:val="24"/>
          <w:vertAlign w:val="superscript"/>
          <w:lang w:val="en-GB"/>
        </w:rPr>
        <w:footnoteReference w:id="2"/>
      </w:r>
      <w:r w:rsidRPr="00F12490">
        <w:rPr>
          <w:rFonts w:asciiTheme="minorHAnsi" w:hAnsiTheme="minorHAnsi"/>
          <w:color w:val="2F5496" w:themeColor="accent1" w:themeShade="BF"/>
          <w:sz w:val="24"/>
          <w:szCs w:val="24"/>
          <w:lang w:val="en-GB"/>
        </w:rPr>
        <w:t xml:space="preserve"> (those unintentionally added or generated via wear and tear), for which paints and coatings might also be in scope.</w:t>
      </w:r>
    </w:p>
    <w:p w14:paraId="00B81B6E" w14:textId="77777777" w:rsidR="00A94555" w:rsidRPr="00F12490" w:rsidRDefault="00A94555" w:rsidP="007A66E1">
      <w:pPr>
        <w:spacing w:line="276" w:lineRule="auto"/>
        <w:jc w:val="both"/>
        <w:rPr>
          <w:rFonts w:asciiTheme="minorHAnsi" w:hAnsiTheme="minorHAnsi"/>
          <w:color w:val="2F5496" w:themeColor="accent1" w:themeShade="BF"/>
          <w:sz w:val="24"/>
          <w:szCs w:val="24"/>
          <w:lang w:val="en-GB"/>
        </w:rPr>
      </w:pPr>
      <w:r w:rsidRPr="00F12490">
        <w:rPr>
          <w:rFonts w:asciiTheme="minorHAnsi" w:hAnsiTheme="minorHAnsi"/>
          <w:color w:val="2F5496" w:themeColor="accent1" w:themeShade="BF"/>
          <w:sz w:val="24"/>
          <w:szCs w:val="24"/>
          <w:lang w:val="en-GB"/>
        </w:rPr>
        <w:t>CEPE and its member companies support efforts to avoid environmental pollution. We believe the presence of microplastics in the environment is an issue that needs to be tackled and we welcome sound scientific research to identify the sources of microplastic pollution and how to minimize them. However, we are concerned about the scientific validity of some current reports, so CEPE is taking responsibility for the sector and has commissioned new research. A sound scientific basis is essential for policy and industry measures.</w:t>
      </w:r>
    </w:p>
    <w:p w14:paraId="320104BB" w14:textId="77777777" w:rsidR="00A94555" w:rsidRDefault="00A94555" w:rsidP="007A66E1">
      <w:pPr>
        <w:spacing w:line="276" w:lineRule="auto"/>
        <w:jc w:val="both"/>
        <w:rPr>
          <w:rFonts w:eastAsia="Calibri" w:cs="Arial"/>
          <w:b/>
          <w:bCs/>
          <w:u w:val="single"/>
          <w:lang w:val="en-US"/>
        </w:rPr>
      </w:pPr>
    </w:p>
    <w:p w14:paraId="66C0CE29" w14:textId="77777777" w:rsidR="00341FAA" w:rsidRDefault="00341FAA" w:rsidP="007A66E1">
      <w:pPr>
        <w:spacing w:line="276" w:lineRule="auto"/>
        <w:jc w:val="both"/>
        <w:rPr>
          <w:rFonts w:asciiTheme="minorHAnsi" w:eastAsia="Times New Roman" w:hAnsiTheme="minorHAnsi" w:cs="Arial"/>
          <w:color w:val="2F5496" w:themeColor="accent1" w:themeShade="BF"/>
          <w:sz w:val="28"/>
          <w:szCs w:val="28"/>
          <w:lang w:val="en-GB" w:eastAsia="en-GB"/>
        </w:rPr>
        <w:sectPr w:rsidR="00341FAA" w:rsidSect="00546476">
          <w:headerReference w:type="default" r:id="rId11"/>
          <w:footerReference w:type="default" r:id="rId12"/>
          <w:pgSz w:w="11906" w:h="16838"/>
          <w:pgMar w:top="1985" w:right="1417" w:bottom="1135" w:left="1417" w:header="708" w:footer="708" w:gutter="0"/>
          <w:cols w:space="708"/>
          <w:docGrid w:linePitch="360"/>
        </w:sectPr>
      </w:pPr>
    </w:p>
    <w:p w14:paraId="6C1F557F" w14:textId="77777777" w:rsidR="00A94555" w:rsidRPr="00F12490" w:rsidRDefault="00A94555" w:rsidP="007A66E1">
      <w:pPr>
        <w:spacing w:line="276" w:lineRule="auto"/>
        <w:jc w:val="both"/>
        <w:rPr>
          <w:rFonts w:asciiTheme="minorHAnsi" w:eastAsia="Times New Roman" w:hAnsiTheme="minorHAnsi" w:cs="Arial"/>
          <w:color w:val="2F5496" w:themeColor="accent1" w:themeShade="BF"/>
          <w:sz w:val="24"/>
          <w:szCs w:val="24"/>
          <w:lang w:val="en-GB" w:eastAsia="en-GB"/>
        </w:rPr>
      </w:pPr>
      <w:r w:rsidRPr="00F12490">
        <w:rPr>
          <w:rFonts w:asciiTheme="minorHAnsi" w:eastAsia="Times New Roman" w:hAnsiTheme="minorHAnsi" w:cs="Arial"/>
          <w:color w:val="2F5496" w:themeColor="accent1" w:themeShade="BF"/>
          <w:sz w:val="24"/>
          <w:szCs w:val="24"/>
          <w:lang w:val="en-GB" w:eastAsia="en-GB"/>
        </w:rPr>
        <w:t>The need for paints and coatings</w:t>
      </w:r>
    </w:p>
    <w:p w14:paraId="091FCD22" w14:textId="77777777" w:rsidR="00A94555" w:rsidRPr="00DC6783" w:rsidRDefault="00A94555" w:rsidP="007642AA">
      <w:pPr>
        <w:pStyle w:val="CEPEtext"/>
        <w:spacing w:line="276" w:lineRule="auto"/>
        <w:rPr>
          <w:lang w:val="en-GB"/>
        </w:rPr>
      </w:pPr>
      <w:r w:rsidRPr="00DC6783">
        <w:rPr>
          <w:lang w:val="en-GB"/>
        </w:rPr>
        <w:t xml:space="preserve">The coatings industry is a hugely important contributor to the sustainability goals of the European Green Deal. Coatings protect an enormous variety of products and surfaces, increasing service life, reducing maintenance and </w:t>
      </w:r>
      <w:proofErr w:type="gramStart"/>
      <w:r w:rsidRPr="00DC6783">
        <w:rPr>
          <w:lang w:val="en-GB"/>
        </w:rPr>
        <w:t>waste</w:t>
      </w:r>
      <w:proofErr w:type="gramEnd"/>
      <w:r w:rsidRPr="00DC6783">
        <w:rPr>
          <w:lang w:val="en-GB"/>
        </w:rPr>
        <w:t xml:space="preserve"> and contributing to a circular economy.</w:t>
      </w:r>
    </w:p>
    <w:p w14:paraId="240D4115" w14:textId="77777777" w:rsidR="00A94555" w:rsidRPr="00DC6783" w:rsidRDefault="00A94555" w:rsidP="007642AA">
      <w:pPr>
        <w:pStyle w:val="CEPEtext"/>
        <w:spacing w:line="276" w:lineRule="auto"/>
        <w:rPr>
          <w:lang w:val="en-GB"/>
        </w:rPr>
      </w:pPr>
    </w:p>
    <w:p w14:paraId="2B869128" w14:textId="77777777" w:rsidR="00A94555" w:rsidRPr="00DC6783" w:rsidRDefault="00A94555" w:rsidP="007642AA">
      <w:pPr>
        <w:pStyle w:val="CEPEtext"/>
        <w:spacing w:line="276" w:lineRule="auto"/>
        <w:rPr>
          <w:lang w:val="en-GB"/>
        </w:rPr>
      </w:pPr>
      <w:r w:rsidRPr="00DC6783">
        <w:rPr>
          <w:lang w:val="en-GB"/>
        </w:rPr>
        <w:t xml:space="preserve">There are countless other benefits – reflective coatings on buildings can reduce energy consumption for cooling, and on roads can increase safety. High-performing antifouling paints are essential to reduce the fuel consumption of ships, decrease greenhouse gas (GHG) emissions, prevent translocation of invasive </w:t>
      </w:r>
      <w:proofErr w:type="gramStart"/>
      <w:r w:rsidRPr="00DC6783">
        <w:rPr>
          <w:lang w:val="en-GB"/>
        </w:rPr>
        <w:t>species</w:t>
      </w:r>
      <w:proofErr w:type="gramEnd"/>
      <w:r w:rsidRPr="00DC6783">
        <w:rPr>
          <w:lang w:val="en-GB"/>
        </w:rPr>
        <w:t xml:space="preserve"> and minimize underwater hull cleaning. </w:t>
      </w:r>
    </w:p>
    <w:p w14:paraId="6E09899A" w14:textId="77777777" w:rsidR="00A94555" w:rsidRPr="00F12490" w:rsidRDefault="00A94555" w:rsidP="007A66E1">
      <w:pPr>
        <w:spacing w:line="276" w:lineRule="auto"/>
        <w:jc w:val="both"/>
        <w:rPr>
          <w:rFonts w:asciiTheme="minorHAnsi" w:eastAsia="Times New Roman" w:hAnsiTheme="minorHAnsi" w:cs="Arial"/>
          <w:color w:val="2F5496" w:themeColor="accent1" w:themeShade="BF"/>
          <w:sz w:val="24"/>
          <w:szCs w:val="24"/>
          <w:lang w:val="en-GB" w:eastAsia="en-GB"/>
        </w:rPr>
      </w:pPr>
      <w:r w:rsidRPr="00F12490">
        <w:rPr>
          <w:rFonts w:asciiTheme="minorHAnsi" w:eastAsia="Times New Roman" w:hAnsiTheme="minorHAnsi" w:cs="Arial"/>
          <w:color w:val="2F5496" w:themeColor="accent1" w:themeShade="BF"/>
          <w:sz w:val="24"/>
          <w:szCs w:val="24"/>
          <w:lang w:val="en-GB" w:eastAsia="en-GB"/>
        </w:rPr>
        <w:t xml:space="preserve">The contribution of paints to microplastic pollution requires further </w:t>
      </w:r>
      <w:proofErr w:type="gramStart"/>
      <w:r w:rsidRPr="00F12490">
        <w:rPr>
          <w:rFonts w:asciiTheme="minorHAnsi" w:eastAsia="Times New Roman" w:hAnsiTheme="minorHAnsi" w:cs="Arial"/>
          <w:color w:val="2F5496" w:themeColor="accent1" w:themeShade="BF"/>
          <w:sz w:val="24"/>
          <w:szCs w:val="24"/>
          <w:lang w:val="en-GB" w:eastAsia="en-GB"/>
        </w:rPr>
        <w:t>research</w:t>
      </w:r>
      <w:proofErr w:type="gramEnd"/>
    </w:p>
    <w:p w14:paraId="7EF0BB53" w14:textId="77777777" w:rsidR="00A94555" w:rsidRPr="00DC6783" w:rsidRDefault="00A94555" w:rsidP="007642AA">
      <w:pPr>
        <w:pStyle w:val="CEPEtext"/>
        <w:spacing w:line="276" w:lineRule="auto"/>
        <w:rPr>
          <w:lang w:val="en-GB"/>
        </w:rPr>
      </w:pPr>
      <w:r w:rsidRPr="00DC6783">
        <w:rPr>
          <w:lang w:val="en-GB"/>
        </w:rPr>
        <w:t>Regarding primary microplastics, only a part of the paint formulation that is intentionally added may fall under the definition of primary microplastic</w:t>
      </w:r>
      <w:r w:rsidRPr="009A5E73">
        <w:rPr>
          <w:vertAlign w:val="superscript"/>
          <w:lang w:val="en-GB"/>
        </w:rPr>
        <w:footnoteReference w:id="3"/>
      </w:r>
      <w:r w:rsidRPr="00DC6783">
        <w:rPr>
          <w:lang w:val="en-GB"/>
        </w:rPr>
        <w:t xml:space="preserve">, such as polymeric binders </w:t>
      </w:r>
      <w:proofErr w:type="gramStart"/>
      <w:r w:rsidRPr="00DC6783">
        <w:rPr>
          <w:lang w:val="en-GB"/>
        </w:rPr>
        <w:t>e.g.</w:t>
      </w:r>
      <w:proofErr w:type="gramEnd"/>
      <w:r w:rsidRPr="00DC6783">
        <w:rPr>
          <w:lang w:val="en-GB"/>
        </w:rPr>
        <w:t xml:space="preserve"> latex.  </w:t>
      </w:r>
    </w:p>
    <w:p w14:paraId="744F4C05" w14:textId="77777777" w:rsidR="00A94555" w:rsidRPr="00DC6783" w:rsidRDefault="00A94555" w:rsidP="007642AA">
      <w:pPr>
        <w:pStyle w:val="CEPEtext"/>
        <w:spacing w:line="276" w:lineRule="auto"/>
        <w:rPr>
          <w:lang w:val="en-GB"/>
        </w:rPr>
      </w:pPr>
      <w:r w:rsidRPr="00DC6783">
        <w:rPr>
          <w:lang w:val="en-GB"/>
        </w:rPr>
        <w:t>Coatings formulations are mixtures of several different ingredients (typically water, solvents, pigments, additives, and binders). Water is the main ingredient for most consumer paints. The polymeric binders help in holding the</w:t>
      </w:r>
      <w:r w:rsidRPr="00D103FB">
        <w:rPr>
          <w:lang w:val="en-US"/>
        </w:rPr>
        <w:t xml:space="preserve"> </w:t>
      </w:r>
      <w:r w:rsidRPr="00DC6783">
        <w:rPr>
          <w:lang w:val="en-GB"/>
        </w:rPr>
        <w:t xml:space="preserve">ingredients together. Once applied, the polymeric binders such as latex </w:t>
      </w:r>
      <w:proofErr w:type="gramStart"/>
      <w:r w:rsidRPr="00DC6783">
        <w:rPr>
          <w:lang w:val="en-GB"/>
        </w:rPr>
        <w:t>join together</w:t>
      </w:r>
      <w:proofErr w:type="gramEnd"/>
      <w:r w:rsidRPr="00DC6783">
        <w:rPr>
          <w:lang w:val="en-GB"/>
        </w:rPr>
        <w:t xml:space="preserve"> or coalesce, to form a continuous film; and the polymeric binders are no longer considered a microplastic.</w:t>
      </w:r>
    </w:p>
    <w:p w14:paraId="3EE1947B" w14:textId="77777777" w:rsidR="00781877" w:rsidRDefault="00781877" w:rsidP="007642AA">
      <w:pPr>
        <w:pStyle w:val="CEPEtext"/>
        <w:spacing w:line="276" w:lineRule="auto"/>
        <w:rPr>
          <w:lang w:val="en-GB"/>
        </w:rPr>
      </w:pPr>
    </w:p>
    <w:p w14:paraId="6F13A7E9" w14:textId="77777777" w:rsidR="00781877" w:rsidRDefault="00781877" w:rsidP="007642AA">
      <w:pPr>
        <w:pStyle w:val="CEPEtext"/>
        <w:spacing w:line="276" w:lineRule="auto"/>
        <w:rPr>
          <w:lang w:val="en-GB"/>
        </w:rPr>
      </w:pPr>
    </w:p>
    <w:p w14:paraId="67CB9171" w14:textId="77777777" w:rsidR="00781877" w:rsidRDefault="00781877" w:rsidP="007642AA">
      <w:pPr>
        <w:pStyle w:val="CEPEtext"/>
        <w:spacing w:line="276" w:lineRule="auto"/>
        <w:rPr>
          <w:lang w:val="en-GB"/>
        </w:rPr>
      </w:pPr>
    </w:p>
    <w:p w14:paraId="5C55722D" w14:textId="77777777" w:rsidR="00781877" w:rsidRDefault="00781877" w:rsidP="007642AA">
      <w:pPr>
        <w:pStyle w:val="CEPEtext"/>
        <w:spacing w:line="276" w:lineRule="auto"/>
        <w:rPr>
          <w:lang w:val="en-GB"/>
        </w:rPr>
      </w:pPr>
    </w:p>
    <w:p w14:paraId="2124592C" w14:textId="07978EFF" w:rsidR="00A94555" w:rsidRPr="00DC6783" w:rsidRDefault="00A94555" w:rsidP="007642AA">
      <w:pPr>
        <w:pStyle w:val="CEPEtext"/>
        <w:spacing w:line="276" w:lineRule="auto"/>
        <w:rPr>
          <w:lang w:val="en-GB"/>
        </w:rPr>
      </w:pPr>
      <w:r w:rsidRPr="00DC6783">
        <w:rPr>
          <w:lang w:val="en-GB"/>
        </w:rPr>
        <w:t xml:space="preserve">Secondary microplastics can potentially form if a paint layer degrades due to being exposed to the weather. However, there is currently no firm evidence that this effect is a major contributor to microplastic waste. </w:t>
      </w:r>
    </w:p>
    <w:p w14:paraId="0A7DC27B" w14:textId="765F17FE" w:rsidR="00A94555" w:rsidRPr="00DC6783" w:rsidRDefault="00A94555" w:rsidP="007642AA">
      <w:pPr>
        <w:pStyle w:val="CEPEtext"/>
        <w:spacing w:line="276" w:lineRule="auto"/>
        <w:rPr>
          <w:lang w:val="en-GB"/>
        </w:rPr>
      </w:pPr>
      <w:r w:rsidRPr="00DC6783">
        <w:rPr>
          <w:lang w:val="en-GB"/>
        </w:rPr>
        <w:t xml:space="preserve">Furthermore, the paint industry has taken measures to reduce solid emissions. These range from process optimizations such as overspray reduction and paint removal practices to developing paints that last much longer and guidance on brush and roller cleaning to reduce emissions by DIY users. Also, professional painters are taking measures to reduce the release of paint particles and dust during their work, such as capturing sanding residues. </w:t>
      </w:r>
    </w:p>
    <w:p w14:paraId="159AA5D4" w14:textId="64C4B531" w:rsidR="00A94555" w:rsidRPr="00D665B6" w:rsidRDefault="00BD25C5" w:rsidP="007A66E1">
      <w:pPr>
        <w:spacing w:line="276" w:lineRule="auto"/>
        <w:jc w:val="both"/>
        <w:rPr>
          <w:rFonts w:asciiTheme="minorHAnsi" w:eastAsia="Times New Roman" w:hAnsiTheme="minorHAnsi" w:cs="Arial"/>
          <w:color w:val="2F5496" w:themeColor="accent1" w:themeShade="BF"/>
          <w:sz w:val="24"/>
          <w:szCs w:val="24"/>
          <w:lang w:val="en-GB" w:eastAsia="en-GB"/>
        </w:rPr>
      </w:pPr>
      <w:r w:rsidRPr="00F07C9B">
        <w:rPr>
          <w:noProof/>
          <w:lang w:val="en-GB"/>
        </w:rPr>
        <mc:AlternateContent>
          <mc:Choice Requires="wps">
            <w:drawing>
              <wp:anchor distT="45720" distB="45720" distL="114300" distR="114300" simplePos="0" relativeHeight="251665920" behindDoc="1" locked="0" layoutInCell="1" allowOverlap="1" wp14:anchorId="6CA09A66" wp14:editId="788EC147">
                <wp:simplePos x="0" y="0"/>
                <wp:positionH relativeFrom="margin">
                  <wp:posOffset>3094990</wp:posOffset>
                </wp:positionH>
                <wp:positionV relativeFrom="margin">
                  <wp:posOffset>3773896</wp:posOffset>
                </wp:positionV>
                <wp:extent cx="2731770" cy="3613785"/>
                <wp:effectExtent l="0" t="0" r="11430" b="2476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770" cy="3613785"/>
                        </a:xfrm>
                        <a:prstGeom prst="rect">
                          <a:avLst/>
                        </a:prstGeom>
                        <a:noFill/>
                        <a:ln w="19050">
                          <a:solidFill>
                            <a:srgbClr val="81CFE0"/>
                          </a:solidFill>
                          <a:miter lim="800000"/>
                          <a:headEnd/>
                          <a:tailEnd/>
                        </a:ln>
                      </wps:spPr>
                      <wps:txbx>
                        <w:txbxContent>
                          <w:p w14:paraId="0A984588" w14:textId="77777777" w:rsidR="00D020A8" w:rsidRPr="001730AB" w:rsidRDefault="00D020A8" w:rsidP="00D020A8">
                            <w:pPr>
                              <w:tabs>
                                <w:tab w:val="left" w:pos="4395"/>
                              </w:tabs>
                              <w:spacing w:line="276" w:lineRule="auto"/>
                              <w:ind w:left="284" w:right="144" w:hanging="284"/>
                              <w:jc w:val="both"/>
                              <w:rPr>
                                <w:rFonts w:asciiTheme="minorHAnsi" w:eastAsia="Times New Roman" w:hAnsiTheme="minorHAnsi" w:cs="Arial"/>
                                <w:color w:val="2F5496" w:themeColor="accent1" w:themeShade="BF"/>
                                <w:sz w:val="18"/>
                                <w:szCs w:val="18"/>
                                <w:lang w:val="en-GB" w:eastAsia="en-GB"/>
                              </w:rPr>
                            </w:pPr>
                          </w:p>
                          <w:p w14:paraId="418B14F5" w14:textId="4AC1DF17" w:rsidR="000C5000" w:rsidRPr="00D665B6" w:rsidRDefault="000C5000" w:rsidP="00D020A8">
                            <w:pPr>
                              <w:tabs>
                                <w:tab w:val="left" w:pos="4395"/>
                              </w:tabs>
                              <w:spacing w:line="276" w:lineRule="auto"/>
                              <w:ind w:left="284" w:right="144" w:hanging="284"/>
                              <w:jc w:val="both"/>
                              <w:rPr>
                                <w:rFonts w:asciiTheme="minorHAnsi" w:eastAsia="Times New Roman" w:hAnsiTheme="minorHAnsi" w:cs="Arial"/>
                                <w:color w:val="2F5496" w:themeColor="accent1" w:themeShade="BF"/>
                                <w:sz w:val="24"/>
                                <w:szCs w:val="24"/>
                                <w:lang w:val="en-GB" w:eastAsia="en-GB"/>
                              </w:rPr>
                            </w:pPr>
                            <w:r w:rsidRPr="00D665B6">
                              <w:rPr>
                                <w:rFonts w:asciiTheme="minorHAnsi" w:eastAsia="Times New Roman" w:hAnsiTheme="minorHAnsi" w:cs="Arial"/>
                                <w:color w:val="2F5496" w:themeColor="accent1" w:themeShade="BF"/>
                                <w:sz w:val="24"/>
                                <w:szCs w:val="24"/>
                                <w:lang w:val="en-GB" w:eastAsia="en-GB"/>
                              </w:rPr>
                              <w:t>What are we proposing?</w:t>
                            </w:r>
                          </w:p>
                          <w:p w14:paraId="0FAFC2B7" w14:textId="15E5050B" w:rsidR="000C5000" w:rsidRPr="004F6E34" w:rsidRDefault="000C5000" w:rsidP="00D020A8">
                            <w:pPr>
                              <w:pStyle w:val="CEPEbullet"/>
                              <w:tabs>
                                <w:tab w:val="left" w:pos="4395"/>
                              </w:tabs>
                              <w:ind w:left="284" w:right="144" w:hanging="284"/>
                              <w:rPr>
                                <w:sz w:val="24"/>
                                <w:szCs w:val="22"/>
                              </w:rPr>
                            </w:pPr>
                            <w:r w:rsidRPr="004F6E34">
                              <w:rPr>
                                <w:sz w:val="24"/>
                                <w:szCs w:val="22"/>
                              </w:rPr>
                              <w:t>To adopt a universally accepted definition of microplastics</w:t>
                            </w:r>
                            <w:r w:rsidR="003E00D8" w:rsidRPr="003E00D8">
                              <w:rPr>
                                <w:sz w:val="24"/>
                                <w:szCs w:val="22"/>
                                <w:vertAlign w:val="superscript"/>
                              </w:rPr>
                              <w:t>5</w:t>
                            </w:r>
                            <w:r w:rsidRPr="004F6E34">
                              <w:rPr>
                                <w:sz w:val="24"/>
                                <w:szCs w:val="22"/>
                              </w:rPr>
                              <w:t xml:space="preserve">  </w:t>
                            </w:r>
                          </w:p>
                          <w:p w14:paraId="64CD936F" w14:textId="77777777" w:rsidR="000C5000" w:rsidRPr="004F6E34" w:rsidRDefault="000C5000" w:rsidP="00D020A8">
                            <w:pPr>
                              <w:pStyle w:val="CEPEbullet"/>
                              <w:tabs>
                                <w:tab w:val="left" w:pos="4395"/>
                              </w:tabs>
                              <w:ind w:left="284" w:right="144" w:hanging="284"/>
                              <w:rPr>
                                <w:sz w:val="24"/>
                                <w:szCs w:val="22"/>
                              </w:rPr>
                            </w:pPr>
                            <w:r w:rsidRPr="004F6E34">
                              <w:rPr>
                                <w:sz w:val="24"/>
                                <w:szCs w:val="22"/>
                              </w:rPr>
                              <w:t>More research based on sound science to fully understand the source of secondary microplastics in the environment</w:t>
                            </w:r>
                          </w:p>
                          <w:p w14:paraId="3D9E08ED" w14:textId="77777777" w:rsidR="000C5000" w:rsidRPr="004F6E34" w:rsidRDefault="000C5000" w:rsidP="00D020A8">
                            <w:pPr>
                              <w:pStyle w:val="CEPEbullet"/>
                              <w:tabs>
                                <w:tab w:val="left" w:pos="4395"/>
                              </w:tabs>
                              <w:ind w:left="284" w:right="144" w:hanging="284"/>
                              <w:rPr>
                                <w:sz w:val="24"/>
                                <w:szCs w:val="22"/>
                              </w:rPr>
                            </w:pPr>
                            <w:r w:rsidRPr="004F6E34">
                              <w:rPr>
                                <w:sz w:val="24"/>
                                <w:szCs w:val="22"/>
                              </w:rPr>
                              <w:t>Supporting the education of professional paint users in paint recovery and waste management to minimize the amount of waste entering the environment</w:t>
                            </w:r>
                          </w:p>
                          <w:p w14:paraId="72C952BF" w14:textId="77777777" w:rsidR="000C5000" w:rsidRPr="004F6E34" w:rsidRDefault="000C5000" w:rsidP="00D020A8">
                            <w:pPr>
                              <w:pStyle w:val="CEPEbullet"/>
                              <w:tabs>
                                <w:tab w:val="left" w:pos="4395"/>
                              </w:tabs>
                              <w:ind w:left="284" w:right="144" w:hanging="284"/>
                              <w:rPr>
                                <w:sz w:val="24"/>
                                <w:szCs w:val="22"/>
                              </w:rPr>
                            </w:pPr>
                            <w:r w:rsidRPr="004F6E34">
                              <w:rPr>
                                <w:sz w:val="24"/>
                                <w:szCs w:val="22"/>
                              </w:rPr>
                              <w:t xml:space="preserve">Further information for consumers on the proper handling of paints (purchase, use, disposal) such as a European wide consumer awareness campaign.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A09A66" id="_x0000_t202" coordsize="21600,21600" o:spt="202" path="m,l,21600r21600,l21600,xe">
                <v:stroke joinstyle="miter"/>
                <v:path gradientshapeok="t" o:connecttype="rect"/>
              </v:shapetype>
              <v:shape id="Text Box 14" o:spid="_x0000_s1026" type="#_x0000_t202" style="position:absolute;left:0;text-align:left;margin-left:243.7pt;margin-top:297.15pt;width:215.1pt;height:284.55pt;z-index:-251650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" filled="f" strokecolor="#81cfe0" strokeweight="1.5pt">
                <v:textbox>
                  <w:txbxContent>
                    <w:p w14:paraId="0A984588" w14:textId="77777777" w:rsidR="00D020A8" w:rsidRPr="001730AB" w:rsidRDefault="00D020A8" w:rsidP="00D020A8">
                      <w:pPr>
                        <w:tabs>
                          <w:tab w:val="left" w:pos="4395"/>
                        </w:tabs>
                        <w:spacing w:line="276" w:lineRule="auto"/>
                        <w:ind w:left="284" w:right="144" w:hanging="284"/>
                        <w:jc w:val="both"/>
                        <w:rPr>
                          <w:rFonts w:asciiTheme="minorHAnsi" w:eastAsia="Times New Roman" w:hAnsiTheme="minorHAnsi" w:cs="Arial"/>
                          <w:color w:val="2F5496" w:themeColor="accent1" w:themeShade="BF"/>
                          <w:sz w:val="18"/>
                          <w:szCs w:val="18"/>
                          <w:lang w:val="en-GB" w:eastAsia="en-GB"/>
                        </w:rPr>
                      </w:pPr>
                    </w:p>
                    <w:p w14:paraId="418B14F5" w14:textId="4AC1DF17" w:rsidR="000C5000" w:rsidRPr="00D665B6" w:rsidRDefault="000C5000" w:rsidP="00D020A8">
                      <w:pPr>
                        <w:tabs>
                          <w:tab w:val="left" w:pos="4395"/>
                        </w:tabs>
                        <w:spacing w:line="276" w:lineRule="auto"/>
                        <w:ind w:left="284" w:right="144" w:hanging="284"/>
                        <w:jc w:val="both"/>
                        <w:rPr>
                          <w:rFonts w:asciiTheme="minorHAnsi" w:eastAsia="Times New Roman" w:hAnsiTheme="minorHAnsi" w:cs="Arial"/>
                          <w:color w:val="2F5496" w:themeColor="accent1" w:themeShade="BF"/>
                          <w:sz w:val="24"/>
                          <w:szCs w:val="24"/>
                          <w:lang w:val="en-GB" w:eastAsia="en-GB"/>
                        </w:rPr>
                      </w:pPr>
                      <w:r w:rsidRPr="00D665B6">
                        <w:rPr>
                          <w:rFonts w:asciiTheme="minorHAnsi" w:eastAsia="Times New Roman" w:hAnsiTheme="minorHAnsi" w:cs="Arial"/>
                          <w:color w:val="2F5496" w:themeColor="accent1" w:themeShade="BF"/>
                          <w:sz w:val="24"/>
                          <w:szCs w:val="24"/>
                          <w:lang w:val="en-GB" w:eastAsia="en-GB"/>
                        </w:rPr>
                        <w:t>What are we proposing?</w:t>
                      </w:r>
                    </w:p>
                    <w:p w14:paraId="0FAFC2B7" w14:textId="15E5050B" w:rsidR="000C5000" w:rsidRPr="004F6E34" w:rsidRDefault="000C5000" w:rsidP="00D020A8">
                      <w:pPr>
                        <w:pStyle w:val="CEPEbullet"/>
                        <w:tabs>
                          <w:tab w:val="left" w:pos="4395"/>
                        </w:tabs>
                        <w:ind w:left="284" w:right="144" w:hanging="284"/>
                        <w:rPr>
                          <w:sz w:val="24"/>
                          <w:szCs w:val="22"/>
                        </w:rPr>
                      </w:pPr>
                      <w:r w:rsidRPr="004F6E34">
                        <w:rPr>
                          <w:sz w:val="24"/>
                          <w:szCs w:val="22"/>
                        </w:rPr>
                        <w:t>To adopt a universally accepted definition of microplastics</w:t>
                      </w:r>
                      <w:r w:rsidR="003E00D8" w:rsidRPr="003E00D8">
                        <w:rPr>
                          <w:sz w:val="24"/>
                          <w:szCs w:val="22"/>
                          <w:vertAlign w:val="superscript"/>
                        </w:rPr>
                        <w:t>5</w:t>
                      </w:r>
                      <w:r w:rsidRPr="004F6E34">
                        <w:rPr>
                          <w:sz w:val="24"/>
                          <w:szCs w:val="22"/>
                        </w:rPr>
                        <w:t xml:space="preserve">  </w:t>
                      </w:r>
                    </w:p>
                    <w:p w14:paraId="64CD936F" w14:textId="77777777" w:rsidR="000C5000" w:rsidRPr="004F6E34" w:rsidRDefault="000C5000" w:rsidP="00D020A8">
                      <w:pPr>
                        <w:pStyle w:val="CEPEbullet"/>
                        <w:tabs>
                          <w:tab w:val="left" w:pos="4395"/>
                        </w:tabs>
                        <w:ind w:left="284" w:right="144" w:hanging="284"/>
                        <w:rPr>
                          <w:sz w:val="24"/>
                          <w:szCs w:val="22"/>
                        </w:rPr>
                      </w:pPr>
                      <w:r w:rsidRPr="004F6E34">
                        <w:rPr>
                          <w:sz w:val="24"/>
                          <w:szCs w:val="22"/>
                        </w:rPr>
                        <w:t>More research based on sound science to fully understand the source of secondary microplastics in the environment</w:t>
                      </w:r>
                    </w:p>
                    <w:p w14:paraId="3D9E08ED" w14:textId="77777777" w:rsidR="000C5000" w:rsidRPr="004F6E34" w:rsidRDefault="000C5000" w:rsidP="00D020A8">
                      <w:pPr>
                        <w:pStyle w:val="CEPEbullet"/>
                        <w:tabs>
                          <w:tab w:val="left" w:pos="4395"/>
                        </w:tabs>
                        <w:ind w:left="284" w:right="144" w:hanging="284"/>
                        <w:rPr>
                          <w:sz w:val="24"/>
                          <w:szCs w:val="22"/>
                        </w:rPr>
                      </w:pPr>
                      <w:r w:rsidRPr="004F6E34">
                        <w:rPr>
                          <w:sz w:val="24"/>
                          <w:szCs w:val="22"/>
                        </w:rPr>
                        <w:t>Supporting the education of professional paint users in paint recovery and waste management to minimize the amount of waste entering the environment</w:t>
                      </w:r>
                    </w:p>
                    <w:p w14:paraId="72C952BF" w14:textId="77777777" w:rsidR="000C5000" w:rsidRPr="004F6E34" w:rsidRDefault="000C5000" w:rsidP="00D020A8">
                      <w:pPr>
                        <w:pStyle w:val="CEPEbullet"/>
                        <w:tabs>
                          <w:tab w:val="left" w:pos="4395"/>
                        </w:tabs>
                        <w:ind w:left="284" w:right="144" w:hanging="284"/>
                        <w:rPr>
                          <w:sz w:val="24"/>
                          <w:szCs w:val="22"/>
                        </w:rPr>
                      </w:pPr>
                      <w:r w:rsidRPr="004F6E34">
                        <w:rPr>
                          <w:sz w:val="24"/>
                          <w:szCs w:val="22"/>
                        </w:rPr>
                        <w:t xml:space="preserve">Further information for consumers on the proper handling of paints (purchase, use, disposal) such as a European wide consumer awareness campaign. </w:t>
                      </w:r>
                    </w:p>
                  </w:txbxContent>
                </v:textbox>
                <w10:wrap type="square" anchorx="margin" anchory="margin"/>
              </v:shape>
            </w:pict>
          </mc:Fallback>
        </mc:AlternateContent>
      </w:r>
    </w:p>
    <w:p w14:paraId="68D871E2" w14:textId="77777777" w:rsidR="00A94555" w:rsidRPr="00D665B6" w:rsidRDefault="00A94555" w:rsidP="007A66E1">
      <w:pPr>
        <w:spacing w:line="276" w:lineRule="auto"/>
        <w:jc w:val="both"/>
        <w:rPr>
          <w:rFonts w:asciiTheme="minorHAnsi" w:eastAsia="Times New Roman" w:hAnsiTheme="minorHAnsi" w:cs="Arial"/>
          <w:color w:val="2F5496" w:themeColor="accent1" w:themeShade="BF"/>
          <w:sz w:val="24"/>
          <w:szCs w:val="24"/>
          <w:lang w:val="en-GB" w:eastAsia="en-GB"/>
        </w:rPr>
      </w:pPr>
      <w:r w:rsidRPr="00D665B6">
        <w:rPr>
          <w:rFonts w:asciiTheme="minorHAnsi" w:eastAsia="Times New Roman" w:hAnsiTheme="minorHAnsi" w:cs="Arial"/>
          <w:color w:val="2F5496" w:themeColor="accent1" w:themeShade="BF"/>
          <w:sz w:val="24"/>
          <w:szCs w:val="24"/>
          <w:lang w:val="en-GB" w:eastAsia="en-GB"/>
        </w:rPr>
        <w:t xml:space="preserve">State of the science </w:t>
      </w:r>
    </w:p>
    <w:p w14:paraId="5295C9F6" w14:textId="67A8CCBC" w:rsidR="00A94555" w:rsidRPr="00DC6783" w:rsidRDefault="00A94555" w:rsidP="007A66E1">
      <w:pPr>
        <w:spacing w:line="276" w:lineRule="auto"/>
        <w:jc w:val="both"/>
        <w:rPr>
          <w:rFonts w:asciiTheme="minorHAnsi" w:hAnsiTheme="minorHAnsi"/>
          <w:sz w:val="22"/>
          <w:lang w:val="en-GB"/>
        </w:rPr>
      </w:pPr>
      <w:r w:rsidRPr="00DC6783">
        <w:rPr>
          <w:rFonts w:asciiTheme="minorHAnsi" w:hAnsiTheme="minorHAnsi"/>
          <w:sz w:val="22"/>
          <w:lang w:val="en-GB"/>
        </w:rPr>
        <w:t>The American Coatings Association (ACA) published a literature review</w:t>
      </w:r>
      <w:r w:rsidRPr="005A1217">
        <w:rPr>
          <w:rFonts w:asciiTheme="minorHAnsi" w:hAnsiTheme="minorHAnsi"/>
          <w:sz w:val="22"/>
          <w:vertAlign w:val="superscript"/>
          <w:lang w:val="en-GB"/>
        </w:rPr>
        <w:footnoteReference w:id="4"/>
      </w:r>
      <w:r w:rsidRPr="005A1217">
        <w:rPr>
          <w:rFonts w:asciiTheme="minorHAnsi" w:hAnsiTheme="minorHAnsi"/>
          <w:sz w:val="22"/>
          <w:vertAlign w:val="superscript"/>
          <w:lang w:val="en-GB"/>
        </w:rPr>
        <w:t xml:space="preserve"> </w:t>
      </w:r>
      <w:r w:rsidRPr="00DC6783">
        <w:rPr>
          <w:rFonts w:asciiTheme="minorHAnsi" w:hAnsiTheme="minorHAnsi"/>
          <w:sz w:val="22"/>
          <w:lang w:val="en-GB"/>
        </w:rPr>
        <w:t xml:space="preserve">in 2022 aimed at establishing the state of the science and available data on microplastics generated by paints and coatings. The conclusion is that there is no clear data quantifying the contribution of paint to microplastics pollution in the marine or terrestrial environment.  </w:t>
      </w:r>
    </w:p>
    <w:p w14:paraId="7710BEF7" w14:textId="77777777" w:rsidR="001B24A4" w:rsidRDefault="00A94555" w:rsidP="007A66E1">
      <w:pPr>
        <w:spacing w:line="276" w:lineRule="auto"/>
        <w:jc w:val="both"/>
        <w:rPr>
          <w:rFonts w:asciiTheme="minorHAnsi" w:hAnsiTheme="minorHAnsi"/>
          <w:sz w:val="22"/>
          <w:lang w:val="en-GB"/>
        </w:rPr>
      </w:pPr>
      <w:r w:rsidRPr="00DC6783">
        <w:rPr>
          <w:rFonts w:asciiTheme="minorHAnsi" w:hAnsiTheme="minorHAnsi"/>
          <w:sz w:val="22"/>
          <w:lang w:val="en-GB"/>
        </w:rPr>
        <w:t xml:space="preserve">Many of the reports employ a range of assumptions regarding paint degradation rates and removal practices to estimate the contribution of paint.  </w:t>
      </w:r>
    </w:p>
    <w:p w14:paraId="42B210BD" w14:textId="77777777" w:rsidR="00CC7CA5" w:rsidRDefault="00CC7CA5" w:rsidP="007A66E1">
      <w:pPr>
        <w:spacing w:line="276" w:lineRule="auto"/>
        <w:jc w:val="both"/>
        <w:rPr>
          <w:rFonts w:asciiTheme="minorHAnsi" w:hAnsiTheme="minorHAnsi"/>
          <w:sz w:val="22"/>
          <w:lang w:val="en-GB"/>
        </w:rPr>
      </w:pPr>
    </w:p>
    <w:p w14:paraId="5BD38E4C" w14:textId="77777777" w:rsidR="00CC7CA5" w:rsidRDefault="00CC7CA5" w:rsidP="007A66E1">
      <w:pPr>
        <w:spacing w:line="276" w:lineRule="auto"/>
        <w:jc w:val="both"/>
        <w:rPr>
          <w:rFonts w:asciiTheme="minorHAnsi" w:hAnsiTheme="minorHAnsi"/>
          <w:sz w:val="22"/>
          <w:lang w:val="en-GB"/>
        </w:rPr>
      </w:pPr>
    </w:p>
    <w:p w14:paraId="7C059CFA" w14:textId="77777777" w:rsidR="00781877" w:rsidRDefault="00781877" w:rsidP="007A66E1">
      <w:pPr>
        <w:spacing w:line="276" w:lineRule="auto"/>
        <w:jc w:val="both"/>
        <w:rPr>
          <w:rFonts w:asciiTheme="minorHAnsi" w:hAnsiTheme="minorHAnsi"/>
          <w:sz w:val="22"/>
          <w:lang w:val="en-GB"/>
        </w:rPr>
      </w:pPr>
    </w:p>
    <w:p w14:paraId="410ED1C5" w14:textId="550A0243" w:rsidR="00A94555" w:rsidRPr="00DC6783" w:rsidRDefault="00A94555" w:rsidP="007A66E1">
      <w:pPr>
        <w:spacing w:line="276" w:lineRule="auto"/>
        <w:jc w:val="both"/>
        <w:rPr>
          <w:rFonts w:asciiTheme="minorHAnsi" w:hAnsiTheme="minorHAnsi"/>
          <w:sz w:val="22"/>
          <w:lang w:val="en-GB"/>
        </w:rPr>
      </w:pPr>
      <w:r w:rsidRPr="00DC6783">
        <w:rPr>
          <w:rFonts w:asciiTheme="minorHAnsi" w:hAnsiTheme="minorHAnsi"/>
          <w:sz w:val="22"/>
          <w:lang w:val="en-GB"/>
        </w:rPr>
        <w:t xml:space="preserve">CEPE is concerned that some reports significantly overestimate the contribution of paints. </w:t>
      </w:r>
    </w:p>
    <w:p w14:paraId="709259E4" w14:textId="72DD43B0" w:rsidR="00A94555" w:rsidRDefault="00A94555" w:rsidP="007A66E1">
      <w:pPr>
        <w:spacing w:line="276" w:lineRule="auto"/>
        <w:jc w:val="both"/>
        <w:rPr>
          <w:b/>
          <w:bCs/>
          <w:lang w:val="en-US"/>
        </w:rPr>
      </w:pPr>
    </w:p>
    <w:p w14:paraId="398F6C2D" w14:textId="7EB3CCF0" w:rsidR="00A94555" w:rsidRPr="00D665B6" w:rsidRDefault="00A94555" w:rsidP="007A66E1">
      <w:pPr>
        <w:spacing w:line="276" w:lineRule="auto"/>
        <w:jc w:val="both"/>
        <w:rPr>
          <w:rFonts w:asciiTheme="minorHAnsi" w:eastAsia="Times New Roman" w:hAnsiTheme="minorHAnsi" w:cs="Arial"/>
          <w:color w:val="2F5496" w:themeColor="accent1" w:themeShade="BF"/>
          <w:sz w:val="24"/>
          <w:szCs w:val="24"/>
          <w:lang w:val="en-GB" w:eastAsia="en-GB"/>
        </w:rPr>
      </w:pPr>
      <w:r w:rsidRPr="00D665B6">
        <w:rPr>
          <w:rFonts w:asciiTheme="minorHAnsi" w:eastAsia="Times New Roman" w:hAnsiTheme="minorHAnsi" w:cs="Arial"/>
          <w:color w:val="2F5496" w:themeColor="accent1" w:themeShade="BF"/>
          <w:sz w:val="24"/>
          <w:szCs w:val="24"/>
          <w:lang w:val="en-GB" w:eastAsia="en-GB"/>
        </w:rPr>
        <w:t xml:space="preserve">CEPE has initiated a research program to provide </w:t>
      </w:r>
      <w:proofErr w:type="gramStart"/>
      <w:r w:rsidRPr="00D665B6">
        <w:rPr>
          <w:rFonts w:asciiTheme="minorHAnsi" w:eastAsia="Times New Roman" w:hAnsiTheme="minorHAnsi" w:cs="Arial"/>
          <w:color w:val="2F5496" w:themeColor="accent1" w:themeShade="BF"/>
          <w:sz w:val="24"/>
          <w:szCs w:val="24"/>
          <w:lang w:val="en-GB" w:eastAsia="en-GB"/>
        </w:rPr>
        <w:t>data</w:t>
      </w:r>
      <w:proofErr w:type="gramEnd"/>
    </w:p>
    <w:p w14:paraId="4E35C700" w14:textId="32077FF5" w:rsidR="00A94555" w:rsidRPr="00DC6783" w:rsidRDefault="00A94555" w:rsidP="007A66E1">
      <w:pPr>
        <w:spacing w:line="276" w:lineRule="auto"/>
        <w:jc w:val="both"/>
        <w:rPr>
          <w:rFonts w:asciiTheme="minorHAnsi" w:hAnsiTheme="minorHAnsi"/>
          <w:sz w:val="22"/>
          <w:lang w:val="en-GB"/>
        </w:rPr>
      </w:pPr>
      <w:r w:rsidRPr="00DC6783">
        <w:rPr>
          <w:rFonts w:asciiTheme="minorHAnsi" w:hAnsiTheme="minorHAnsi"/>
          <w:sz w:val="22"/>
          <w:lang w:val="en-GB"/>
        </w:rPr>
        <w:t>Given the lack of clear scientific data and inconsistencies in reports, CEPE had commissioned independent studies aimed at better understanding the release and degradation of secondary microplastics, particularly from building façade coatings and marine coatings. These studies will enhance the industry’s knowledge of coatings-related microplastics and provide a better basis for regulatory discussion.</w:t>
      </w:r>
    </w:p>
    <w:p w14:paraId="0DB1E78B" w14:textId="77777777" w:rsidR="00341FAA" w:rsidRDefault="00341FAA" w:rsidP="007A66E1">
      <w:pPr>
        <w:spacing w:line="276" w:lineRule="auto"/>
        <w:jc w:val="both"/>
        <w:rPr>
          <w:rFonts w:asciiTheme="minorHAnsi" w:hAnsiTheme="minorHAnsi"/>
          <w:sz w:val="22"/>
          <w:lang w:val="en-GB"/>
        </w:rPr>
        <w:sectPr w:rsidR="00341FAA" w:rsidSect="00124BED">
          <w:type w:val="continuous"/>
          <w:pgSz w:w="11906" w:h="16838"/>
          <w:pgMar w:top="1985" w:right="1417" w:bottom="1560" w:left="1417" w:header="708" w:footer="708" w:gutter="0"/>
          <w:cols w:num="2" w:space="708"/>
          <w:docGrid w:linePitch="360"/>
        </w:sectPr>
      </w:pPr>
    </w:p>
    <w:p w14:paraId="00201DE0" w14:textId="77777777" w:rsidR="00A94555" w:rsidRPr="00DC6783" w:rsidRDefault="00A94555" w:rsidP="007A66E1">
      <w:pPr>
        <w:spacing w:line="276" w:lineRule="auto"/>
        <w:jc w:val="both"/>
        <w:rPr>
          <w:rFonts w:asciiTheme="minorHAnsi" w:hAnsiTheme="minorHAnsi"/>
          <w:sz w:val="22"/>
          <w:lang w:val="en-GB"/>
        </w:rPr>
      </w:pPr>
    </w:p>
    <w:p w14:paraId="361B34AD" w14:textId="2156A4A5" w:rsidR="003A1202" w:rsidRPr="00447395" w:rsidRDefault="003A1202" w:rsidP="00A80E2C">
      <w:pPr>
        <w:pStyle w:val="CEPE2ndheader"/>
        <w:jc w:val="center"/>
        <w:rPr>
          <w:noProof/>
          <w:sz w:val="6"/>
          <w:szCs w:val="6"/>
        </w:rPr>
      </w:pPr>
    </w:p>
    <w:sectPr w:rsidR="003A1202" w:rsidRPr="00447395" w:rsidSect="00341FAA">
      <w:type w:val="continuous"/>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652E6" w14:textId="77777777" w:rsidR="00270557" w:rsidRDefault="00270557" w:rsidP="000F7286">
      <w:r>
        <w:separator/>
      </w:r>
    </w:p>
  </w:endnote>
  <w:endnote w:type="continuationSeparator" w:id="0">
    <w:p w14:paraId="661B07B4" w14:textId="77777777" w:rsidR="00270557" w:rsidRDefault="00270557" w:rsidP="000F7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4E54" w14:textId="77777777" w:rsidR="000F7286" w:rsidRPr="00C32E51" w:rsidRDefault="00C32E51" w:rsidP="00C32E51">
    <w:pPr>
      <w:pStyle w:val="Footer"/>
      <w:tabs>
        <w:tab w:val="clear" w:pos="9026"/>
      </w:tabs>
      <w:ind w:right="-709"/>
      <w:jc w:val="right"/>
      <w:rPr>
        <w:rFonts w:asciiTheme="minorHAnsi" w:hAnsiTheme="minorHAnsi" w:cstheme="minorHAnsi"/>
        <w:sz w:val="16"/>
        <w:szCs w:val="16"/>
      </w:rPr>
    </w:pPr>
    <w:r w:rsidRPr="009B2576">
      <w:rPr>
        <w:noProof/>
        <w:color w:val="404040" w:themeColor="text1" w:themeTint="BF"/>
      </w:rPr>
      <mc:AlternateContent>
        <mc:Choice Requires="wps">
          <w:drawing>
            <wp:anchor distT="45720" distB="45720" distL="114300" distR="114300" simplePos="0" relativeHeight="251657216" behindDoc="1" locked="0" layoutInCell="1" allowOverlap="1" wp14:anchorId="0F26DBCB" wp14:editId="60CAC154">
              <wp:simplePos x="0" y="0"/>
              <wp:positionH relativeFrom="margin">
                <wp:posOffset>-939165</wp:posOffset>
              </wp:positionH>
              <wp:positionV relativeFrom="paragraph">
                <wp:posOffset>-216535</wp:posOffset>
              </wp:positionV>
              <wp:extent cx="7646007" cy="1020528"/>
              <wp:effectExtent l="19050" t="19050" r="12700" b="273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6007" cy="1020528"/>
                      </a:xfrm>
                      <a:prstGeom prst="rect">
                        <a:avLst/>
                      </a:prstGeom>
                      <a:solidFill>
                        <a:schemeClr val="bg1">
                          <a:lumMod val="95000"/>
                        </a:schemeClr>
                      </a:solidFill>
                      <a:ln w="38100">
                        <a:solidFill>
                          <a:srgbClr val="81CFE0"/>
                        </a:solidFill>
                        <a:miter lim="800000"/>
                        <a:headEnd/>
                        <a:tailEnd/>
                      </a:ln>
                    </wps:spPr>
                    <wps:txbx>
                      <w:txbxContent>
                        <w:p w14:paraId="5D679166" w14:textId="77777777" w:rsidR="00C32E51" w:rsidRPr="00905FCB" w:rsidRDefault="00C32E51" w:rsidP="00C32E51">
                          <w:pPr>
                            <w:tabs>
                              <w:tab w:val="left" w:pos="3960"/>
                            </w:tabs>
                            <w:spacing w:before="120" w:line="276" w:lineRule="auto"/>
                            <w:jc w:val="center"/>
                            <w:rPr>
                              <w:rFonts w:asciiTheme="minorHAnsi" w:hAnsiTheme="minorHAnsi" w:cstheme="minorHAnsi"/>
                              <w:color w:val="404040" w:themeColor="text1" w:themeTint="BF"/>
                              <w:sz w:val="18"/>
                              <w:szCs w:val="24"/>
                              <w:lang w:val="fr-BE"/>
                            </w:rPr>
                          </w:pPr>
                          <w:r w:rsidRPr="00905FCB">
                            <w:rPr>
                              <w:rFonts w:asciiTheme="minorHAnsi" w:hAnsiTheme="minorHAnsi" w:cstheme="minorHAnsi"/>
                              <w:color w:val="404040" w:themeColor="text1" w:themeTint="BF"/>
                              <w:sz w:val="18"/>
                              <w:szCs w:val="24"/>
                              <w:lang w:val="fr-BE"/>
                            </w:rPr>
                            <w:t>CEPE AISBL Boulevard du Triomphe 172 • 1160 Brussels</w:t>
                          </w:r>
                        </w:p>
                        <w:p w14:paraId="6941E6BF" w14:textId="77777777" w:rsidR="00C32E51" w:rsidRPr="001E47FE" w:rsidRDefault="00C32E51" w:rsidP="00C32E51">
                          <w:pPr>
                            <w:tabs>
                              <w:tab w:val="left" w:pos="3960"/>
                            </w:tabs>
                            <w:spacing w:line="276" w:lineRule="auto"/>
                            <w:jc w:val="center"/>
                            <w:rPr>
                              <w:rFonts w:asciiTheme="minorHAnsi" w:hAnsiTheme="minorHAnsi" w:cstheme="minorHAnsi"/>
                              <w:color w:val="404040" w:themeColor="text1" w:themeTint="BF"/>
                              <w:sz w:val="18"/>
                              <w:szCs w:val="24"/>
                              <w:lang w:val="fr-BE"/>
                            </w:rPr>
                          </w:pPr>
                          <w:r w:rsidRPr="00905FCB">
                            <w:rPr>
                              <w:rFonts w:asciiTheme="minorHAnsi" w:hAnsiTheme="minorHAnsi" w:cstheme="minorHAnsi"/>
                              <w:color w:val="404040" w:themeColor="text1" w:themeTint="BF"/>
                              <w:sz w:val="18"/>
                              <w:szCs w:val="24"/>
                              <w:lang w:val="fr-BE"/>
                            </w:rPr>
                            <w:t xml:space="preserve">+32 2 897 20 20 • secretariat@cepe.org • </w:t>
                          </w:r>
                          <w:hyperlink r:id="rId1" w:history="1">
                            <w:r w:rsidRPr="001E47FE">
                              <w:rPr>
                                <w:rStyle w:val="Hyperlink"/>
                                <w:rFonts w:asciiTheme="minorHAnsi" w:hAnsiTheme="minorHAnsi" w:cstheme="minorHAnsi"/>
                                <w:color w:val="404040" w:themeColor="text1" w:themeTint="BF"/>
                                <w:sz w:val="18"/>
                                <w:szCs w:val="24"/>
                                <w:u w:val="none"/>
                                <w:lang w:val="fr-BE"/>
                              </w:rPr>
                              <w:t>www.cepe.org</w:t>
                            </w:r>
                          </w:hyperlink>
                        </w:p>
                        <w:p w14:paraId="203E0E6C" w14:textId="77777777" w:rsidR="00C32E51" w:rsidRPr="004C23E3" w:rsidRDefault="00C32E51" w:rsidP="00C32E51">
                          <w:pPr>
                            <w:jc w:val="center"/>
                            <w:rPr>
                              <w:lang w:val="en-US"/>
                            </w:rPr>
                          </w:pPr>
                          <w:r w:rsidRPr="001E47FE">
                            <w:rPr>
                              <w:rFonts w:asciiTheme="minorHAnsi" w:hAnsiTheme="minorHAnsi" w:cstheme="minorHAnsi"/>
                              <w:color w:val="404040" w:themeColor="text1" w:themeTint="BF"/>
                              <w:sz w:val="18"/>
                              <w:szCs w:val="24"/>
                              <w:lang w:val="en-US"/>
                            </w:rPr>
                            <w:t>EC Transparency Register of CEPE: 47031804648-91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26DBCB" id="_x0000_t202" coordsize="21600,21600" o:spt="202" path="m,l,21600r21600,l21600,xe">
              <v:stroke joinstyle="miter"/>
              <v:path gradientshapeok="t" o:connecttype="rect"/>
            </v:shapetype>
            <v:shape id="Text Box 2" o:spid="_x0000_s1027" type="#_x0000_t202" style="position:absolute;left:0;text-align:left;margin-left:-73.95pt;margin-top:-17.05pt;width:602.05pt;height:80.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" fillcolor="#f2f2f2 [3052]" strokecolor="#81cfe0" strokeweight="3pt">
              <v:textbox>
                <w:txbxContent>
                  <w:p w14:paraId="5D679166" w14:textId="77777777" w:rsidR="00C32E51" w:rsidRPr="00905FCB" w:rsidRDefault="00C32E51" w:rsidP="00C32E51">
                    <w:pPr>
                      <w:tabs>
                        <w:tab w:val="left" w:pos="3960"/>
                      </w:tabs>
                      <w:spacing w:before="120" w:line="276" w:lineRule="auto"/>
                      <w:jc w:val="center"/>
                      <w:rPr>
                        <w:rFonts w:asciiTheme="minorHAnsi" w:hAnsiTheme="minorHAnsi" w:cstheme="minorHAnsi"/>
                        <w:color w:val="404040" w:themeColor="text1" w:themeTint="BF"/>
                        <w:sz w:val="18"/>
                        <w:szCs w:val="24"/>
                        <w:lang w:val="fr-BE"/>
                      </w:rPr>
                    </w:pPr>
                    <w:r w:rsidRPr="00905FCB">
                      <w:rPr>
                        <w:rFonts w:asciiTheme="minorHAnsi" w:hAnsiTheme="minorHAnsi" w:cstheme="minorHAnsi"/>
                        <w:color w:val="404040" w:themeColor="text1" w:themeTint="BF"/>
                        <w:sz w:val="18"/>
                        <w:szCs w:val="24"/>
                        <w:lang w:val="fr-BE"/>
                      </w:rPr>
                      <w:t>CEPE AISBL Boulevard du Triomphe 172 • 1160 Brussels</w:t>
                    </w:r>
                  </w:p>
                  <w:p w14:paraId="6941E6BF" w14:textId="77777777" w:rsidR="00C32E51" w:rsidRPr="001E47FE" w:rsidRDefault="00C32E51" w:rsidP="00C32E51">
                    <w:pPr>
                      <w:tabs>
                        <w:tab w:val="left" w:pos="3960"/>
                      </w:tabs>
                      <w:spacing w:line="276" w:lineRule="auto"/>
                      <w:jc w:val="center"/>
                      <w:rPr>
                        <w:rFonts w:asciiTheme="minorHAnsi" w:hAnsiTheme="minorHAnsi" w:cstheme="minorHAnsi"/>
                        <w:color w:val="404040" w:themeColor="text1" w:themeTint="BF"/>
                        <w:sz w:val="18"/>
                        <w:szCs w:val="24"/>
                        <w:lang w:val="fr-BE"/>
                      </w:rPr>
                    </w:pPr>
                    <w:r w:rsidRPr="00905FCB">
                      <w:rPr>
                        <w:rFonts w:asciiTheme="minorHAnsi" w:hAnsiTheme="minorHAnsi" w:cstheme="minorHAnsi"/>
                        <w:color w:val="404040" w:themeColor="text1" w:themeTint="BF"/>
                        <w:sz w:val="18"/>
                        <w:szCs w:val="24"/>
                        <w:lang w:val="fr-BE"/>
                      </w:rPr>
                      <w:t xml:space="preserve">+32 2 897 20 20 • secretariat@cepe.org • </w:t>
                    </w:r>
                    <w:hyperlink r:id="rId2" w:history="1">
                      <w:r w:rsidRPr="001E47FE">
                        <w:rPr>
                          <w:rStyle w:val="Hyperlink"/>
                          <w:rFonts w:asciiTheme="minorHAnsi" w:hAnsiTheme="minorHAnsi" w:cstheme="minorHAnsi"/>
                          <w:color w:val="404040" w:themeColor="text1" w:themeTint="BF"/>
                          <w:sz w:val="18"/>
                          <w:szCs w:val="24"/>
                          <w:u w:val="none"/>
                          <w:lang w:val="fr-BE"/>
                        </w:rPr>
                        <w:t>www.cepe.org</w:t>
                      </w:r>
                    </w:hyperlink>
                  </w:p>
                  <w:p w14:paraId="203E0E6C" w14:textId="77777777" w:rsidR="00C32E51" w:rsidRPr="004C23E3" w:rsidRDefault="00C32E51" w:rsidP="00C32E51">
                    <w:pPr>
                      <w:jc w:val="center"/>
                      <w:rPr>
                        <w:lang w:val="en-US"/>
                      </w:rPr>
                    </w:pPr>
                    <w:r w:rsidRPr="001E47FE">
                      <w:rPr>
                        <w:rFonts w:asciiTheme="minorHAnsi" w:hAnsiTheme="minorHAnsi" w:cstheme="minorHAnsi"/>
                        <w:color w:val="404040" w:themeColor="text1" w:themeTint="BF"/>
                        <w:sz w:val="18"/>
                        <w:szCs w:val="24"/>
                        <w:lang w:val="en-US"/>
                      </w:rPr>
                      <w:t>EC Transparency Register of CEPE: 47031804648-91</w:t>
                    </w:r>
                  </w:p>
                </w:txbxContent>
              </v:textbox>
              <w10:wrap anchorx="margin"/>
            </v:shape>
          </w:pict>
        </mc:Fallback>
      </mc:AlternateContent>
    </w:r>
    <w:sdt>
      <w:sdtPr>
        <w:rPr>
          <w:rFonts w:asciiTheme="minorHAnsi" w:hAnsiTheme="minorHAnsi" w:cstheme="minorHAnsi"/>
          <w:sz w:val="16"/>
          <w:szCs w:val="16"/>
        </w:rPr>
        <w:id w:val="81732540"/>
        <w:docPartObj>
          <w:docPartGallery w:val="Page Numbers (Bottom of Page)"/>
          <w:docPartUnique/>
        </w:docPartObj>
      </w:sdtPr>
      <w:sdtEndPr/>
      <w:sdtContent>
        <w:sdt>
          <w:sdtPr>
            <w:rPr>
              <w:rFonts w:asciiTheme="minorHAnsi" w:hAnsiTheme="minorHAnsi" w:cstheme="minorHAnsi"/>
              <w:sz w:val="16"/>
              <w:szCs w:val="16"/>
            </w:rPr>
            <w:id w:val="1728636285"/>
            <w:docPartObj>
              <w:docPartGallery w:val="Page Numbers (Top of Page)"/>
              <w:docPartUnique/>
            </w:docPartObj>
          </w:sdtPr>
          <w:sdtEndPr/>
          <w:sdtContent>
            <w:r w:rsidRPr="00C32E51">
              <w:rPr>
                <w:rFonts w:asciiTheme="minorHAnsi" w:hAnsiTheme="minorHAnsi" w:cstheme="minorHAnsi"/>
                <w:sz w:val="16"/>
                <w:szCs w:val="16"/>
              </w:rPr>
              <w:t xml:space="preserve">Page </w:t>
            </w:r>
            <w:r w:rsidRPr="00C32E51">
              <w:rPr>
                <w:rFonts w:asciiTheme="minorHAnsi" w:hAnsiTheme="minorHAnsi" w:cstheme="minorHAnsi"/>
                <w:sz w:val="16"/>
                <w:szCs w:val="16"/>
              </w:rPr>
              <w:fldChar w:fldCharType="begin"/>
            </w:r>
            <w:r w:rsidRPr="00C32E51">
              <w:rPr>
                <w:rFonts w:asciiTheme="minorHAnsi" w:hAnsiTheme="minorHAnsi" w:cstheme="minorHAnsi"/>
                <w:sz w:val="16"/>
                <w:szCs w:val="16"/>
              </w:rPr>
              <w:instrText xml:space="preserve"> PAGE </w:instrText>
            </w:r>
            <w:r w:rsidRPr="00C32E51">
              <w:rPr>
                <w:rFonts w:asciiTheme="minorHAnsi" w:hAnsiTheme="minorHAnsi" w:cstheme="minorHAnsi"/>
                <w:sz w:val="16"/>
                <w:szCs w:val="16"/>
              </w:rPr>
              <w:fldChar w:fldCharType="separate"/>
            </w:r>
            <w:r w:rsidRPr="00C32E51">
              <w:rPr>
                <w:rFonts w:asciiTheme="minorHAnsi" w:hAnsiTheme="minorHAnsi" w:cstheme="minorHAnsi"/>
                <w:noProof/>
                <w:sz w:val="16"/>
                <w:szCs w:val="16"/>
              </w:rPr>
              <w:t>2</w:t>
            </w:r>
            <w:r w:rsidRPr="00C32E51">
              <w:rPr>
                <w:rFonts w:asciiTheme="minorHAnsi" w:hAnsiTheme="minorHAnsi" w:cstheme="minorHAnsi"/>
                <w:sz w:val="16"/>
                <w:szCs w:val="16"/>
              </w:rPr>
              <w:fldChar w:fldCharType="end"/>
            </w:r>
            <w:r w:rsidRPr="00C32E51">
              <w:rPr>
                <w:rFonts w:asciiTheme="minorHAnsi" w:hAnsiTheme="minorHAnsi" w:cstheme="minorHAnsi"/>
                <w:sz w:val="16"/>
                <w:szCs w:val="16"/>
              </w:rPr>
              <w:t xml:space="preserve"> of </w:t>
            </w:r>
            <w:r w:rsidRPr="00C32E51">
              <w:rPr>
                <w:rFonts w:asciiTheme="minorHAnsi" w:hAnsiTheme="minorHAnsi" w:cstheme="minorHAnsi"/>
                <w:sz w:val="16"/>
                <w:szCs w:val="16"/>
              </w:rPr>
              <w:fldChar w:fldCharType="begin"/>
            </w:r>
            <w:r w:rsidRPr="00C32E51">
              <w:rPr>
                <w:rFonts w:asciiTheme="minorHAnsi" w:hAnsiTheme="minorHAnsi" w:cstheme="minorHAnsi"/>
                <w:sz w:val="16"/>
                <w:szCs w:val="16"/>
              </w:rPr>
              <w:instrText xml:space="preserve"> NUMPAGES  </w:instrText>
            </w:r>
            <w:r w:rsidRPr="00C32E51">
              <w:rPr>
                <w:rFonts w:asciiTheme="minorHAnsi" w:hAnsiTheme="minorHAnsi" w:cstheme="minorHAnsi"/>
                <w:sz w:val="16"/>
                <w:szCs w:val="16"/>
              </w:rPr>
              <w:fldChar w:fldCharType="separate"/>
            </w:r>
            <w:r w:rsidRPr="00C32E51">
              <w:rPr>
                <w:rFonts w:asciiTheme="minorHAnsi" w:hAnsiTheme="minorHAnsi" w:cstheme="minorHAnsi"/>
                <w:noProof/>
                <w:sz w:val="16"/>
                <w:szCs w:val="16"/>
              </w:rPr>
              <w:t>2</w:t>
            </w:r>
            <w:r w:rsidRPr="00C32E51">
              <w:rPr>
                <w:rFonts w:asciiTheme="minorHAnsi" w:hAnsiTheme="minorHAnsi" w:cstheme="minorHAnsi"/>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5609A" w14:textId="77777777" w:rsidR="00270557" w:rsidRDefault="00270557" w:rsidP="000F7286">
      <w:r>
        <w:separator/>
      </w:r>
    </w:p>
  </w:footnote>
  <w:footnote w:type="continuationSeparator" w:id="0">
    <w:p w14:paraId="092080A5" w14:textId="77777777" w:rsidR="00270557" w:rsidRDefault="00270557" w:rsidP="000F7286">
      <w:r>
        <w:continuationSeparator/>
      </w:r>
    </w:p>
  </w:footnote>
  <w:footnote w:id="1">
    <w:p w14:paraId="5A4F745E" w14:textId="77777777" w:rsidR="00A94555" w:rsidRPr="003A1967" w:rsidRDefault="00A94555" w:rsidP="00A94555">
      <w:pPr>
        <w:pStyle w:val="FootnoteText"/>
        <w:rPr>
          <w:lang w:val="en-US"/>
        </w:rPr>
      </w:pPr>
      <w:r>
        <w:rPr>
          <w:rStyle w:val="FootnoteReference"/>
        </w:rPr>
        <w:footnoteRef/>
      </w:r>
      <w:r w:rsidRPr="003A1967">
        <w:rPr>
          <w:lang w:val="en-US"/>
        </w:rPr>
        <w:t xml:space="preserve"> </w:t>
      </w:r>
      <w:r>
        <w:rPr>
          <w:lang w:val="en-US"/>
        </w:rPr>
        <w:t>Primary microplastics are…</w:t>
      </w:r>
    </w:p>
  </w:footnote>
  <w:footnote w:id="2">
    <w:p w14:paraId="35301F4D" w14:textId="77777777" w:rsidR="00A94555" w:rsidRPr="003A1967" w:rsidRDefault="00A94555" w:rsidP="00A94555">
      <w:pPr>
        <w:pStyle w:val="FootnoteText"/>
        <w:rPr>
          <w:lang w:val="en-US"/>
        </w:rPr>
      </w:pPr>
      <w:r>
        <w:rPr>
          <w:rStyle w:val="FootnoteReference"/>
        </w:rPr>
        <w:footnoteRef/>
      </w:r>
      <w:r w:rsidRPr="003A1967">
        <w:rPr>
          <w:lang w:val="en-US"/>
        </w:rPr>
        <w:t xml:space="preserve"> </w:t>
      </w:r>
      <w:r>
        <w:rPr>
          <w:lang w:val="en-US"/>
        </w:rPr>
        <w:t>Secondary microplastics are….</w:t>
      </w:r>
    </w:p>
  </w:footnote>
  <w:footnote w:id="3">
    <w:p w14:paraId="122DAF0F" w14:textId="77777777" w:rsidR="00A94555" w:rsidRPr="00DA3783" w:rsidRDefault="00A94555" w:rsidP="00A94555">
      <w:pPr>
        <w:pStyle w:val="FootnoteText"/>
        <w:rPr>
          <w:lang w:val="en-US"/>
        </w:rPr>
      </w:pPr>
      <w:r>
        <w:rPr>
          <w:rStyle w:val="FootnoteReference"/>
        </w:rPr>
        <w:footnoteRef/>
      </w:r>
      <w:r w:rsidRPr="003A1967">
        <w:rPr>
          <w:lang w:val="en-US"/>
        </w:rPr>
        <w:t xml:space="preserve"> </w:t>
      </w:r>
      <w:r w:rsidRPr="00DA3783">
        <w:rPr>
          <w:lang w:val="en-US"/>
        </w:rPr>
        <w:t xml:space="preserve"> </w:t>
      </w:r>
    </w:p>
    <w:p w14:paraId="7DA17D01" w14:textId="77777777" w:rsidR="00A94555" w:rsidRPr="00DA3783" w:rsidRDefault="00A94555" w:rsidP="00A94555">
      <w:pPr>
        <w:pStyle w:val="FootnoteText"/>
        <w:rPr>
          <w:lang w:val="en-US"/>
        </w:rPr>
      </w:pPr>
    </w:p>
  </w:footnote>
  <w:footnote w:id="4">
    <w:p w14:paraId="37459629" w14:textId="1C30A93C" w:rsidR="00A94555" w:rsidRPr="008157BD" w:rsidRDefault="00A94555" w:rsidP="00CC7CA5">
      <w:pPr>
        <w:pStyle w:val="FootnoteText"/>
        <w:ind w:right="-4323"/>
        <w:rPr>
          <w:rStyle w:val="markedcontent"/>
          <w:sz w:val="10"/>
          <w:szCs w:val="10"/>
          <w:lang w:val="en-US"/>
        </w:rPr>
      </w:pPr>
      <w:r w:rsidRPr="008157BD">
        <w:rPr>
          <w:rStyle w:val="FootnoteReference"/>
          <w:sz w:val="10"/>
          <w:szCs w:val="10"/>
        </w:rPr>
        <w:footnoteRef/>
      </w:r>
      <w:r w:rsidRPr="008157BD">
        <w:rPr>
          <w:sz w:val="10"/>
          <w:szCs w:val="10"/>
          <w:lang w:val="en-US"/>
        </w:rPr>
        <w:t xml:space="preserve"> </w:t>
      </w:r>
      <w:r w:rsidRPr="008157BD">
        <w:rPr>
          <w:rStyle w:val="markedcontent"/>
          <w:sz w:val="10"/>
          <w:szCs w:val="10"/>
          <w:lang w:val="en-US"/>
        </w:rPr>
        <w:t>Gradient. “Literature Review of Coatings-Related Microplastics” 2022. American Coatings Association</w:t>
      </w:r>
    </w:p>
    <w:p w14:paraId="50384D1A" w14:textId="6C835AF7" w:rsidR="003E00D8" w:rsidRPr="008157BD" w:rsidRDefault="003E00D8" w:rsidP="008157BD">
      <w:pPr>
        <w:ind w:right="354"/>
        <w:rPr>
          <w:sz w:val="16"/>
          <w:szCs w:val="16"/>
        </w:rPr>
      </w:pPr>
      <w:r w:rsidRPr="008157BD">
        <w:rPr>
          <w:rStyle w:val="FootnoteReference"/>
          <w:sz w:val="16"/>
          <w:szCs w:val="16"/>
        </w:rPr>
        <w:t>5</w:t>
      </w:r>
      <w:r w:rsidRPr="008157BD">
        <w:rPr>
          <w:sz w:val="16"/>
          <w:szCs w:val="16"/>
          <w:lang w:val="en-US"/>
        </w:rPr>
        <w:t xml:space="preserve"> </w:t>
      </w:r>
      <w:hyperlink r:id="rId1" w:history="1">
        <w:r w:rsidRPr="00BB3239">
          <w:rPr>
            <w:rStyle w:val="Hyperlink"/>
            <w:sz w:val="12"/>
            <w:szCs w:val="12"/>
            <w:lang w:val="en-US"/>
          </w:rPr>
          <w:t>Frontiers | Understanding the potential release of microplastics from coatings used on commercial ships (frontiersin.org)</w:t>
        </w:r>
      </w:hyperlink>
    </w:p>
    <w:p w14:paraId="11D91647" w14:textId="77777777" w:rsidR="003E00D8" w:rsidRPr="003E00D8" w:rsidRDefault="003E00D8" w:rsidP="00A94555">
      <w:pPr>
        <w:pStyle w:val="FootnoteText"/>
        <w:rPr>
          <w:rStyle w:val="markedcontent"/>
          <w:sz w:val="19"/>
          <w:szCs w:val="19"/>
          <w:lang w:val="de-DE"/>
        </w:rPr>
      </w:pPr>
    </w:p>
    <w:p w14:paraId="5C536562" w14:textId="77777777" w:rsidR="00307A9D" w:rsidRPr="00917A0A" w:rsidRDefault="00307A9D" w:rsidP="00A94555">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8BC1E" w14:textId="04B6D4AD" w:rsidR="000F7286" w:rsidRPr="00340B17" w:rsidRDefault="003434D6">
    <w:pPr>
      <w:pStyle w:val="Header"/>
      <w:rPr>
        <w:sz w:val="2"/>
        <w:szCs w:val="2"/>
      </w:rPr>
    </w:pPr>
    <w:r>
      <w:rPr>
        <w:noProof/>
      </w:rPr>
      <w:drawing>
        <wp:anchor distT="0" distB="0" distL="114300" distR="114300" simplePos="0" relativeHeight="251661312" behindDoc="0" locked="0" layoutInCell="1" allowOverlap="1" wp14:anchorId="722DFAFA" wp14:editId="7DE8479A">
          <wp:simplePos x="0" y="0"/>
          <wp:positionH relativeFrom="column">
            <wp:posOffset>-866031</wp:posOffset>
          </wp:positionH>
          <wp:positionV relativeFrom="paragraph">
            <wp:posOffset>-512445</wp:posOffset>
          </wp:positionV>
          <wp:extent cx="7495002" cy="2275200"/>
          <wp:effectExtent l="0" t="0" r="0" b="0"/>
          <wp:wrapSquare wrapText="bothSides"/>
          <wp:docPr id="227" name="Picture 227" descr="A picture containing text, weapon, sciss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weapon, scissor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5002" cy="2275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D488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204A2"/>
    <w:multiLevelType w:val="multilevel"/>
    <w:tmpl w:val="2000001D"/>
    <w:styleLink w:val="CEPEListbullets"/>
    <w:lvl w:ilvl="0">
      <w:start w:val="1"/>
      <w:numFmt w:val="decimal"/>
      <w:lvlText w:val="%1"/>
      <w:lvlJc w:val="left"/>
      <w:pPr>
        <w:ind w:left="360" w:hanging="360"/>
      </w:pPr>
      <w:rPr>
        <w:rFonts w:ascii="Times New Roman" w:hAnsi="Times New Roman" w:hint="default"/>
        <w:b/>
        <w:color w:val="81CFE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hint="default"/>
        <w:color w:val="81CFE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BD3D61"/>
    <w:multiLevelType w:val="hybridMultilevel"/>
    <w:tmpl w:val="CFD23C68"/>
    <w:lvl w:ilvl="0" w:tplc="FD9ABADA">
      <w:start w:val="1"/>
      <w:numFmt w:val="bullet"/>
      <w:lvlText w:val=""/>
      <w:lvlJc w:val="left"/>
      <w:pPr>
        <w:ind w:left="720" w:hanging="360"/>
      </w:pPr>
      <w:rPr>
        <w:rFonts w:ascii="Symbol" w:hAnsi="Symbol" w:hint="default"/>
        <w:color w:val="81CFE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D5A6158"/>
    <w:multiLevelType w:val="hybridMultilevel"/>
    <w:tmpl w:val="C3D2CB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ED65708"/>
    <w:multiLevelType w:val="hybridMultilevel"/>
    <w:tmpl w:val="36FE24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F8D50DE"/>
    <w:multiLevelType w:val="hybridMultilevel"/>
    <w:tmpl w:val="48EE63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45D71C2"/>
    <w:multiLevelType w:val="hybridMultilevel"/>
    <w:tmpl w:val="EE48CB9C"/>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7" w15:restartNumberingAfterBreak="0">
    <w:nsid w:val="19B90810"/>
    <w:multiLevelType w:val="hybridMultilevel"/>
    <w:tmpl w:val="3BD6CF34"/>
    <w:lvl w:ilvl="0" w:tplc="B3EAA81E">
      <w:start w:val="1"/>
      <w:numFmt w:val="decimal"/>
      <w:lvlText w:val="%1."/>
      <w:lvlJc w:val="left"/>
      <w:pPr>
        <w:ind w:left="924" w:hanging="564"/>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5F97938"/>
    <w:multiLevelType w:val="hybridMultilevel"/>
    <w:tmpl w:val="67FC8616"/>
    <w:lvl w:ilvl="0" w:tplc="FD9ABADA">
      <w:start w:val="1"/>
      <w:numFmt w:val="bullet"/>
      <w:lvlText w:val=""/>
      <w:lvlJc w:val="left"/>
      <w:pPr>
        <w:ind w:left="360" w:hanging="360"/>
      </w:pPr>
      <w:rPr>
        <w:rFonts w:ascii="Symbol" w:hAnsi="Symbol" w:hint="default"/>
        <w:color w:val="81CFE0"/>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9" w15:restartNumberingAfterBreak="0">
    <w:nsid w:val="29DF0679"/>
    <w:multiLevelType w:val="hybridMultilevel"/>
    <w:tmpl w:val="3C1C645A"/>
    <w:lvl w:ilvl="0" w:tplc="70EC9FEA">
      <w:start w:val="1"/>
      <w:numFmt w:val="bullet"/>
      <w:lvlText w:val=""/>
      <w:lvlJc w:val="left"/>
      <w:pPr>
        <w:ind w:left="720" w:hanging="360"/>
      </w:pPr>
      <w:rPr>
        <w:rFonts w:ascii="Symbol" w:hAnsi="Symbol" w:hint="default"/>
        <w:color w:val="81CFE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1402510"/>
    <w:multiLevelType w:val="multilevel"/>
    <w:tmpl w:val="9800E086"/>
    <w:styleLink w:val="Style1"/>
    <w:lvl w:ilvl="0">
      <w:start w:val="1"/>
      <w:numFmt w:val="decimal"/>
      <w:pStyle w:val="CEPEAGENDASUBtitle"/>
      <w:lvlText w:val="%1."/>
      <w:lvlJc w:val="left"/>
      <w:pPr>
        <w:ind w:left="564" w:hanging="564"/>
      </w:pPr>
      <w:rPr>
        <w:rFonts w:ascii="Calibri Light" w:hAnsi="Calibri Light" w:hint="default"/>
        <w:b w:val="0"/>
        <w:bCs w:val="0"/>
        <w:color w:val="32AFCC"/>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4A30258"/>
    <w:multiLevelType w:val="hybridMultilevel"/>
    <w:tmpl w:val="3BD6CF34"/>
    <w:lvl w:ilvl="0" w:tplc="B3EAA81E">
      <w:start w:val="1"/>
      <w:numFmt w:val="decimal"/>
      <w:lvlText w:val="%1."/>
      <w:lvlJc w:val="left"/>
      <w:pPr>
        <w:ind w:left="924" w:hanging="564"/>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7E57D25"/>
    <w:multiLevelType w:val="hybridMultilevel"/>
    <w:tmpl w:val="A2E00A34"/>
    <w:lvl w:ilvl="0" w:tplc="20000001">
      <w:start w:val="1"/>
      <w:numFmt w:val="bullet"/>
      <w:lvlText w:val=""/>
      <w:lvlJc w:val="left"/>
      <w:pPr>
        <w:ind w:left="1004" w:hanging="360"/>
      </w:pPr>
      <w:rPr>
        <w:rFonts w:ascii="Symbol" w:hAnsi="Symbol"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13" w15:restartNumberingAfterBreak="0">
    <w:nsid w:val="434C00E5"/>
    <w:multiLevelType w:val="hybridMultilevel"/>
    <w:tmpl w:val="40125D56"/>
    <w:lvl w:ilvl="0" w:tplc="2000000F">
      <w:start w:val="1"/>
      <w:numFmt w:val="decimal"/>
      <w:lvlText w:val="%1."/>
      <w:lvlJc w:val="left"/>
      <w:pPr>
        <w:ind w:left="720" w:hanging="360"/>
      </w:pPr>
      <w:rPr>
        <w:rFonts w:hint="default"/>
        <w:color w:val="81CFE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A740C48"/>
    <w:multiLevelType w:val="hybridMultilevel"/>
    <w:tmpl w:val="D528E90E"/>
    <w:lvl w:ilvl="0" w:tplc="E82A1B9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CBE2D72"/>
    <w:multiLevelType w:val="hybridMultilevel"/>
    <w:tmpl w:val="71425B44"/>
    <w:lvl w:ilvl="0" w:tplc="FD9ABADA">
      <w:start w:val="1"/>
      <w:numFmt w:val="bullet"/>
      <w:lvlText w:val=""/>
      <w:lvlJc w:val="left"/>
      <w:pPr>
        <w:ind w:left="720" w:hanging="360"/>
      </w:pPr>
      <w:rPr>
        <w:rFonts w:ascii="Symbol" w:hAnsi="Symbol" w:hint="default"/>
        <w:color w:val="81CFE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61293232"/>
    <w:multiLevelType w:val="hybridMultilevel"/>
    <w:tmpl w:val="738416C8"/>
    <w:lvl w:ilvl="0" w:tplc="3990D9FE">
      <w:start w:val="3"/>
      <w:numFmt w:val="bullet"/>
      <w:lvlText w:val="-"/>
      <w:lvlJc w:val="left"/>
      <w:pPr>
        <w:ind w:left="1494" w:hanging="360"/>
      </w:pPr>
      <w:rPr>
        <w:rFonts w:ascii="Calibri" w:eastAsia="Times" w:hAnsi="Calibri" w:cs="Calibri" w:hint="default"/>
      </w:rPr>
    </w:lvl>
    <w:lvl w:ilvl="1" w:tplc="20000003" w:tentative="1">
      <w:start w:val="1"/>
      <w:numFmt w:val="bullet"/>
      <w:lvlText w:val="o"/>
      <w:lvlJc w:val="left"/>
      <w:pPr>
        <w:ind w:left="2214" w:hanging="360"/>
      </w:pPr>
      <w:rPr>
        <w:rFonts w:ascii="Courier New" w:hAnsi="Courier New" w:cs="Courier New" w:hint="default"/>
      </w:rPr>
    </w:lvl>
    <w:lvl w:ilvl="2" w:tplc="20000005" w:tentative="1">
      <w:start w:val="1"/>
      <w:numFmt w:val="bullet"/>
      <w:lvlText w:val=""/>
      <w:lvlJc w:val="left"/>
      <w:pPr>
        <w:ind w:left="2934" w:hanging="360"/>
      </w:pPr>
      <w:rPr>
        <w:rFonts w:ascii="Wingdings" w:hAnsi="Wingdings" w:hint="default"/>
      </w:rPr>
    </w:lvl>
    <w:lvl w:ilvl="3" w:tplc="20000001" w:tentative="1">
      <w:start w:val="1"/>
      <w:numFmt w:val="bullet"/>
      <w:lvlText w:val=""/>
      <w:lvlJc w:val="left"/>
      <w:pPr>
        <w:ind w:left="3654" w:hanging="360"/>
      </w:pPr>
      <w:rPr>
        <w:rFonts w:ascii="Symbol" w:hAnsi="Symbol" w:hint="default"/>
      </w:rPr>
    </w:lvl>
    <w:lvl w:ilvl="4" w:tplc="20000003" w:tentative="1">
      <w:start w:val="1"/>
      <w:numFmt w:val="bullet"/>
      <w:lvlText w:val="o"/>
      <w:lvlJc w:val="left"/>
      <w:pPr>
        <w:ind w:left="4374" w:hanging="360"/>
      </w:pPr>
      <w:rPr>
        <w:rFonts w:ascii="Courier New" w:hAnsi="Courier New" w:cs="Courier New" w:hint="default"/>
      </w:rPr>
    </w:lvl>
    <w:lvl w:ilvl="5" w:tplc="20000005" w:tentative="1">
      <w:start w:val="1"/>
      <w:numFmt w:val="bullet"/>
      <w:lvlText w:val=""/>
      <w:lvlJc w:val="left"/>
      <w:pPr>
        <w:ind w:left="5094" w:hanging="360"/>
      </w:pPr>
      <w:rPr>
        <w:rFonts w:ascii="Wingdings" w:hAnsi="Wingdings" w:hint="default"/>
      </w:rPr>
    </w:lvl>
    <w:lvl w:ilvl="6" w:tplc="20000001" w:tentative="1">
      <w:start w:val="1"/>
      <w:numFmt w:val="bullet"/>
      <w:lvlText w:val=""/>
      <w:lvlJc w:val="left"/>
      <w:pPr>
        <w:ind w:left="5814" w:hanging="360"/>
      </w:pPr>
      <w:rPr>
        <w:rFonts w:ascii="Symbol" w:hAnsi="Symbol" w:hint="default"/>
      </w:rPr>
    </w:lvl>
    <w:lvl w:ilvl="7" w:tplc="20000003" w:tentative="1">
      <w:start w:val="1"/>
      <w:numFmt w:val="bullet"/>
      <w:lvlText w:val="o"/>
      <w:lvlJc w:val="left"/>
      <w:pPr>
        <w:ind w:left="6534" w:hanging="360"/>
      </w:pPr>
      <w:rPr>
        <w:rFonts w:ascii="Courier New" w:hAnsi="Courier New" w:cs="Courier New" w:hint="default"/>
      </w:rPr>
    </w:lvl>
    <w:lvl w:ilvl="8" w:tplc="20000005" w:tentative="1">
      <w:start w:val="1"/>
      <w:numFmt w:val="bullet"/>
      <w:lvlText w:val=""/>
      <w:lvlJc w:val="left"/>
      <w:pPr>
        <w:ind w:left="7254" w:hanging="360"/>
      </w:pPr>
      <w:rPr>
        <w:rFonts w:ascii="Wingdings" w:hAnsi="Wingdings" w:hint="default"/>
      </w:rPr>
    </w:lvl>
  </w:abstractNum>
  <w:abstractNum w:abstractNumId="17" w15:restartNumberingAfterBreak="0">
    <w:nsid w:val="62327490"/>
    <w:multiLevelType w:val="hybridMultilevel"/>
    <w:tmpl w:val="2508FE2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65372E3E"/>
    <w:multiLevelType w:val="multilevel"/>
    <w:tmpl w:val="2000001D"/>
    <w:numStyleLink w:val="CEPEListbullets"/>
  </w:abstractNum>
  <w:abstractNum w:abstractNumId="19" w15:restartNumberingAfterBreak="0">
    <w:nsid w:val="653C6928"/>
    <w:multiLevelType w:val="hybridMultilevel"/>
    <w:tmpl w:val="9800E086"/>
    <w:lvl w:ilvl="0" w:tplc="2D405FEC">
      <w:start w:val="1"/>
      <w:numFmt w:val="decimal"/>
      <w:lvlText w:val="%1."/>
      <w:lvlJc w:val="left"/>
      <w:pPr>
        <w:ind w:left="564" w:hanging="564"/>
      </w:pPr>
      <w:rPr>
        <w:rFonts w:ascii="Calibri Light" w:hAnsi="Calibri Light" w:hint="default"/>
        <w:b w:val="0"/>
        <w:bCs w:val="0"/>
        <w:color w:val="81CFE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0" w15:restartNumberingAfterBreak="0">
    <w:nsid w:val="67197BCC"/>
    <w:multiLevelType w:val="hybridMultilevel"/>
    <w:tmpl w:val="379015BC"/>
    <w:lvl w:ilvl="0" w:tplc="AD320C58">
      <w:start w:val="1"/>
      <w:numFmt w:val="bullet"/>
      <w:lvlText w:val=""/>
      <w:lvlJc w:val="left"/>
      <w:pPr>
        <w:ind w:left="720" w:hanging="360"/>
      </w:pPr>
      <w:rPr>
        <w:rFonts w:ascii="Symbol" w:hAnsi="Symbol" w:hint="default"/>
        <w:color w:val="32AFCC"/>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671D1CC8"/>
    <w:multiLevelType w:val="hybridMultilevel"/>
    <w:tmpl w:val="C8CE2256"/>
    <w:lvl w:ilvl="0" w:tplc="19342BBC">
      <w:start w:val="1"/>
      <w:numFmt w:val="bullet"/>
      <w:pStyle w:val="CEPEbullet"/>
      <w:lvlText w:val="&gt;"/>
      <w:lvlJc w:val="left"/>
      <w:pPr>
        <w:ind w:left="644" w:hanging="360"/>
      </w:pPr>
      <w:rPr>
        <w:rFonts w:ascii="Calibri" w:hAnsi="Calibri" w:hint="default"/>
        <w:color w:val="81CFE0"/>
        <w:sz w:val="22"/>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22" w15:restartNumberingAfterBreak="0">
    <w:nsid w:val="6AA465A4"/>
    <w:multiLevelType w:val="hybridMultilevel"/>
    <w:tmpl w:val="5A3E79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66B4760"/>
    <w:multiLevelType w:val="multilevel"/>
    <w:tmpl w:val="2000001D"/>
    <w:numStyleLink w:val="CEPEListbullets"/>
  </w:abstractNum>
  <w:abstractNum w:abstractNumId="24" w15:restartNumberingAfterBreak="0">
    <w:nsid w:val="7E0E2036"/>
    <w:multiLevelType w:val="multilevel"/>
    <w:tmpl w:val="9800E086"/>
    <w:numStyleLink w:val="Style1"/>
  </w:abstractNum>
  <w:num w:numId="1" w16cid:durableId="1023627808">
    <w:abstractNumId w:val="11"/>
  </w:num>
  <w:num w:numId="2" w16cid:durableId="145918549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6161139">
    <w:abstractNumId w:val="7"/>
  </w:num>
  <w:num w:numId="4" w16cid:durableId="1386947305">
    <w:abstractNumId w:val="19"/>
  </w:num>
  <w:num w:numId="5" w16cid:durableId="86729910">
    <w:abstractNumId w:val="1"/>
  </w:num>
  <w:num w:numId="6" w16cid:durableId="297420667">
    <w:abstractNumId w:val="18"/>
  </w:num>
  <w:num w:numId="7" w16cid:durableId="1083990727">
    <w:abstractNumId w:val="5"/>
  </w:num>
  <w:num w:numId="8" w16cid:durableId="637879130">
    <w:abstractNumId w:val="23"/>
  </w:num>
  <w:num w:numId="9" w16cid:durableId="551038541">
    <w:abstractNumId w:val="4"/>
  </w:num>
  <w:num w:numId="10" w16cid:durableId="1928924812">
    <w:abstractNumId w:val="15"/>
  </w:num>
  <w:num w:numId="11" w16cid:durableId="1397044424">
    <w:abstractNumId w:val="13"/>
  </w:num>
  <w:num w:numId="12" w16cid:durableId="1976636502">
    <w:abstractNumId w:val="10"/>
  </w:num>
  <w:num w:numId="13" w16cid:durableId="863593206">
    <w:abstractNumId w:val="24"/>
    <w:lvlOverride w:ilvl="0">
      <w:lvl w:ilvl="0">
        <w:start w:val="1"/>
        <w:numFmt w:val="decimal"/>
        <w:pStyle w:val="CEPEAGENDASUBtitle"/>
        <w:lvlText w:val="%1."/>
        <w:lvlJc w:val="left"/>
        <w:pPr>
          <w:ind w:left="360" w:hanging="360"/>
        </w:pPr>
        <w:rPr>
          <w:rFonts w:hint="default"/>
          <w:color w:val="4472C4"/>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4" w16cid:durableId="1008093606">
    <w:abstractNumId w:val="0"/>
  </w:num>
  <w:num w:numId="15" w16cid:durableId="482939986">
    <w:abstractNumId w:val="9"/>
  </w:num>
  <w:num w:numId="16" w16cid:durableId="964702553">
    <w:abstractNumId w:val="24"/>
  </w:num>
  <w:num w:numId="17" w16cid:durableId="594485468">
    <w:abstractNumId w:val="24"/>
  </w:num>
  <w:num w:numId="18" w16cid:durableId="2040008180">
    <w:abstractNumId w:val="24"/>
  </w:num>
  <w:num w:numId="19" w16cid:durableId="1748333483">
    <w:abstractNumId w:val="24"/>
  </w:num>
  <w:num w:numId="20" w16cid:durableId="167254932">
    <w:abstractNumId w:val="24"/>
  </w:num>
  <w:num w:numId="21" w16cid:durableId="819464393">
    <w:abstractNumId w:val="2"/>
  </w:num>
  <w:num w:numId="22" w16cid:durableId="642586710">
    <w:abstractNumId w:val="20"/>
  </w:num>
  <w:num w:numId="23" w16cid:durableId="2080128203">
    <w:abstractNumId w:val="8"/>
  </w:num>
  <w:num w:numId="24" w16cid:durableId="841511435">
    <w:abstractNumId w:val="24"/>
    <w:lvlOverride w:ilvl="0">
      <w:lvl w:ilvl="0">
        <w:start w:val="1"/>
        <w:numFmt w:val="decimal"/>
        <w:pStyle w:val="CEPEAGENDASUBtitle"/>
        <w:lvlText w:val="%1."/>
        <w:lvlJc w:val="left"/>
        <w:pPr>
          <w:ind w:left="564" w:hanging="564"/>
        </w:pPr>
        <w:rPr>
          <w:rFonts w:ascii="Calibri Light" w:hAnsi="Calibri Light" w:hint="default"/>
          <w:b w:val="0"/>
          <w:bCs w:val="0"/>
          <w:color w:val="32AFCC"/>
        </w:rPr>
      </w:lvl>
    </w:lvlOverride>
  </w:num>
  <w:num w:numId="25" w16cid:durableId="1262103818">
    <w:abstractNumId w:val="24"/>
    <w:lvlOverride w:ilvl="0">
      <w:lvl w:ilvl="0">
        <w:start w:val="1"/>
        <w:numFmt w:val="decimal"/>
        <w:pStyle w:val="CEPEAGENDASUBtitle"/>
        <w:lvlText w:val="%1."/>
        <w:lvlJc w:val="left"/>
        <w:pPr>
          <w:ind w:left="564" w:hanging="564"/>
        </w:pPr>
        <w:rPr>
          <w:rFonts w:ascii="Calibri Light" w:hAnsi="Calibri Light" w:hint="default"/>
          <w:b w:val="0"/>
          <w:bCs w:val="0"/>
          <w:color w:val="32AFCC"/>
        </w:rPr>
      </w:lvl>
    </w:lvlOverride>
  </w:num>
  <w:num w:numId="26" w16cid:durableId="1253708506">
    <w:abstractNumId w:val="24"/>
    <w:lvlOverride w:ilvl="0">
      <w:lvl w:ilvl="0">
        <w:start w:val="1"/>
        <w:numFmt w:val="decimal"/>
        <w:pStyle w:val="CEPEAGENDASUBtitle"/>
        <w:lvlText w:val="%1."/>
        <w:lvlJc w:val="left"/>
        <w:pPr>
          <w:ind w:left="564" w:hanging="564"/>
        </w:pPr>
        <w:rPr>
          <w:rFonts w:ascii="Calibri Light" w:hAnsi="Calibri Light" w:hint="default"/>
          <w:b w:val="0"/>
          <w:bCs w:val="0"/>
          <w:color w:val="32AFCC"/>
        </w:rPr>
      </w:lvl>
    </w:lvlOverride>
  </w:num>
  <w:num w:numId="27" w16cid:durableId="1894073683">
    <w:abstractNumId w:val="24"/>
    <w:lvlOverride w:ilvl="0">
      <w:lvl w:ilvl="0">
        <w:start w:val="1"/>
        <w:numFmt w:val="decimal"/>
        <w:pStyle w:val="CEPEAGENDASUBtitle"/>
        <w:lvlText w:val="%1."/>
        <w:lvlJc w:val="left"/>
        <w:pPr>
          <w:ind w:left="564" w:hanging="564"/>
        </w:pPr>
        <w:rPr>
          <w:rFonts w:ascii="Calibri Light" w:hAnsi="Calibri Light" w:hint="default"/>
          <w:b w:val="0"/>
          <w:bCs w:val="0"/>
          <w:color w:val="32AFCC"/>
        </w:rPr>
      </w:lvl>
    </w:lvlOverride>
  </w:num>
  <w:num w:numId="28" w16cid:durableId="963462114">
    <w:abstractNumId w:val="24"/>
    <w:lvlOverride w:ilvl="0">
      <w:lvl w:ilvl="0">
        <w:start w:val="1"/>
        <w:numFmt w:val="decimal"/>
        <w:pStyle w:val="CEPEAGENDASUBtitle"/>
        <w:lvlText w:val="%1."/>
        <w:lvlJc w:val="left"/>
        <w:pPr>
          <w:ind w:left="564" w:hanging="564"/>
        </w:pPr>
        <w:rPr>
          <w:rFonts w:ascii="Calibri Light" w:hAnsi="Calibri Light" w:hint="default"/>
          <w:b w:val="0"/>
          <w:bCs w:val="0"/>
          <w:color w:val="32AFCC"/>
        </w:rPr>
      </w:lvl>
    </w:lvlOverride>
  </w:num>
  <w:num w:numId="29" w16cid:durableId="315576733">
    <w:abstractNumId w:val="24"/>
    <w:lvlOverride w:ilvl="0">
      <w:lvl w:ilvl="0">
        <w:start w:val="1"/>
        <w:numFmt w:val="decimal"/>
        <w:pStyle w:val="CEPEAGENDASUBtitle"/>
        <w:lvlText w:val="%1."/>
        <w:lvlJc w:val="left"/>
        <w:pPr>
          <w:ind w:left="564" w:hanging="564"/>
        </w:pPr>
        <w:rPr>
          <w:rFonts w:ascii="Calibri Light" w:hAnsi="Calibri Light" w:hint="default"/>
          <w:b w:val="0"/>
          <w:bCs w:val="0"/>
          <w:color w:val="32AFCC"/>
        </w:rPr>
      </w:lvl>
    </w:lvlOverride>
  </w:num>
  <w:num w:numId="30" w16cid:durableId="1009605823">
    <w:abstractNumId w:val="21"/>
  </w:num>
  <w:num w:numId="31" w16cid:durableId="856770404">
    <w:abstractNumId w:val="6"/>
  </w:num>
  <w:num w:numId="32" w16cid:durableId="1621060615">
    <w:abstractNumId w:val="16"/>
  </w:num>
  <w:num w:numId="33" w16cid:durableId="979580910">
    <w:abstractNumId w:val="24"/>
    <w:lvlOverride w:ilvl="0">
      <w:lvl w:ilvl="0">
        <w:start w:val="1"/>
        <w:numFmt w:val="decimal"/>
        <w:pStyle w:val="CEPEAGENDASUBtitle"/>
        <w:lvlText w:val="%1."/>
        <w:lvlJc w:val="left"/>
        <w:pPr>
          <w:ind w:left="360" w:hanging="360"/>
        </w:pPr>
        <w:rPr>
          <w:rFonts w:hint="default"/>
          <w:color w:val="4472C4"/>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23"/>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4" w16cid:durableId="367605166">
    <w:abstractNumId w:val="3"/>
  </w:num>
  <w:num w:numId="35" w16cid:durableId="600915793">
    <w:abstractNumId w:val="14"/>
  </w:num>
  <w:num w:numId="36" w16cid:durableId="1416973726">
    <w:abstractNumId w:val="21"/>
  </w:num>
  <w:num w:numId="37" w16cid:durableId="739015820">
    <w:abstractNumId w:val="21"/>
  </w:num>
  <w:num w:numId="38" w16cid:durableId="1714190784">
    <w:abstractNumId w:val="21"/>
  </w:num>
  <w:num w:numId="39" w16cid:durableId="714549855">
    <w:abstractNumId w:val="21"/>
  </w:num>
  <w:num w:numId="40" w16cid:durableId="771128531">
    <w:abstractNumId w:val="21"/>
  </w:num>
  <w:num w:numId="41" w16cid:durableId="106849359">
    <w:abstractNumId w:val="21"/>
  </w:num>
  <w:num w:numId="42" w16cid:durableId="755173817">
    <w:abstractNumId w:val="17"/>
  </w:num>
  <w:num w:numId="43" w16cid:durableId="24110889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styleLockTheme/>
  <w:styleLockQFSet/>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D00"/>
    <w:rsid w:val="00000745"/>
    <w:rsid w:val="00001897"/>
    <w:rsid w:val="000219B7"/>
    <w:rsid w:val="00035B0F"/>
    <w:rsid w:val="00042403"/>
    <w:rsid w:val="00086F8A"/>
    <w:rsid w:val="000C5000"/>
    <w:rsid w:val="000D7FA5"/>
    <w:rsid w:val="000F7286"/>
    <w:rsid w:val="001066DA"/>
    <w:rsid w:val="0011671A"/>
    <w:rsid w:val="00124BED"/>
    <w:rsid w:val="001537AE"/>
    <w:rsid w:val="001730AB"/>
    <w:rsid w:val="00175E16"/>
    <w:rsid w:val="00183243"/>
    <w:rsid w:val="00187EAB"/>
    <w:rsid w:val="001B24A4"/>
    <w:rsid w:val="001B4898"/>
    <w:rsid w:val="001C28FC"/>
    <w:rsid w:val="001C5E03"/>
    <w:rsid w:val="00217131"/>
    <w:rsid w:val="00224C13"/>
    <w:rsid w:val="0023298B"/>
    <w:rsid w:val="00234E7F"/>
    <w:rsid w:val="002367F8"/>
    <w:rsid w:val="002439E2"/>
    <w:rsid w:val="00245C56"/>
    <w:rsid w:val="002507F8"/>
    <w:rsid w:val="00253490"/>
    <w:rsid w:val="00253F53"/>
    <w:rsid w:val="0026087A"/>
    <w:rsid w:val="00270557"/>
    <w:rsid w:val="002C373F"/>
    <w:rsid w:val="002C6C0F"/>
    <w:rsid w:val="00307A9D"/>
    <w:rsid w:val="00323D85"/>
    <w:rsid w:val="00340B17"/>
    <w:rsid w:val="00340D91"/>
    <w:rsid w:val="00341FAA"/>
    <w:rsid w:val="00343418"/>
    <w:rsid w:val="003434D6"/>
    <w:rsid w:val="00381F0A"/>
    <w:rsid w:val="003941D2"/>
    <w:rsid w:val="00394FA3"/>
    <w:rsid w:val="003A1202"/>
    <w:rsid w:val="003A7DDF"/>
    <w:rsid w:val="003E00D8"/>
    <w:rsid w:val="003F0F7D"/>
    <w:rsid w:val="003F790B"/>
    <w:rsid w:val="00403963"/>
    <w:rsid w:val="00412EEB"/>
    <w:rsid w:val="00414198"/>
    <w:rsid w:val="00417C17"/>
    <w:rsid w:val="00430AAF"/>
    <w:rsid w:val="00447395"/>
    <w:rsid w:val="0047439C"/>
    <w:rsid w:val="004746A5"/>
    <w:rsid w:val="0047636B"/>
    <w:rsid w:val="00481E0E"/>
    <w:rsid w:val="004A058E"/>
    <w:rsid w:val="004A4FD5"/>
    <w:rsid w:val="004A54FF"/>
    <w:rsid w:val="004B730D"/>
    <w:rsid w:val="004F6E34"/>
    <w:rsid w:val="0051452E"/>
    <w:rsid w:val="00546476"/>
    <w:rsid w:val="00561A63"/>
    <w:rsid w:val="00564DC8"/>
    <w:rsid w:val="00570EB4"/>
    <w:rsid w:val="005738F7"/>
    <w:rsid w:val="00574A52"/>
    <w:rsid w:val="00583908"/>
    <w:rsid w:val="00594A28"/>
    <w:rsid w:val="005A1217"/>
    <w:rsid w:val="005A620A"/>
    <w:rsid w:val="005B2F84"/>
    <w:rsid w:val="005C5916"/>
    <w:rsid w:val="005E051F"/>
    <w:rsid w:val="005F472E"/>
    <w:rsid w:val="00610E23"/>
    <w:rsid w:val="00611704"/>
    <w:rsid w:val="00612592"/>
    <w:rsid w:val="00630609"/>
    <w:rsid w:val="00636CE8"/>
    <w:rsid w:val="0064717F"/>
    <w:rsid w:val="00695493"/>
    <w:rsid w:val="006A25EA"/>
    <w:rsid w:val="006C7D18"/>
    <w:rsid w:val="006E079D"/>
    <w:rsid w:val="006F61DA"/>
    <w:rsid w:val="0070655F"/>
    <w:rsid w:val="0072312B"/>
    <w:rsid w:val="00733766"/>
    <w:rsid w:val="0074566C"/>
    <w:rsid w:val="007640A6"/>
    <w:rsid w:val="007642AA"/>
    <w:rsid w:val="00781877"/>
    <w:rsid w:val="007A66E1"/>
    <w:rsid w:val="007D4043"/>
    <w:rsid w:val="007D79F5"/>
    <w:rsid w:val="007F567A"/>
    <w:rsid w:val="00805246"/>
    <w:rsid w:val="008157BD"/>
    <w:rsid w:val="008A114A"/>
    <w:rsid w:val="008B1954"/>
    <w:rsid w:val="008C1778"/>
    <w:rsid w:val="008D4515"/>
    <w:rsid w:val="008E0AF6"/>
    <w:rsid w:val="008E0CBF"/>
    <w:rsid w:val="00904468"/>
    <w:rsid w:val="00905FCB"/>
    <w:rsid w:val="0090628C"/>
    <w:rsid w:val="00907750"/>
    <w:rsid w:val="00912B35"/>
    <w:rsid w:val="00913598"/>
    <w:rsid w:val="00941829"/>
    <w:rsid w:val="00941F6F"/>
    <w:rsid w:val="00946C70"/>
    <w:rsid w:val="009873DD"/>
    <w:rsid w:val="009A0BDF"/>
    <w:rsid w:val="009A46D2"/>
    <w:rsid w:val="009A49ED"/>
    <w:rsid w:val="009A5E73"/>
    <w:rsid w:val="009C11D7"/>
    <w:rsid w:val="00A11539"/>
    <w:rsid w:val="00A277E9"/>
    <w:rsid w:val="00A562D0"/>
    <w:rsid w:val="00A60041"/>
    <w:rsid w:val="00A63FB7"/>
    <w:rsid w:val="00A80E2C"/>
    <w:rsid w:val="00A94555"/>
    <w:rsid w:val="00AA0DD4"/>
    <w:rsid w:val="00AB028F"/>
    <w:rsid w:val="00AB4207"/>
    <w:rsid w:val="00AE06BC"/>
    <w:rsid w:val="00AE6C5A"/>
    <w:rsid w:val="00B00283"/>
    <w:rsid w:val="00B00E7C"/>
    <w:rsid w:val="00B05D23"/>
    <w:rsid w:val="00B6173C"/>
    <w:rsid w:val="00B77905"/>
    <w:rsid w:val="00BA4DE6"/>
    <w:rsid w:val="00BB3239"/>
    <w:rsid w:val="00BB647E"/>
    <w:rsid w:val="00BB7775"/>
    <w:rsid w:val="00BD25C5"/>
    <w:rsid w:val="00BE4A59"/>
    <w:rsid w:val="00C13959"/>
    <w:rsid w:val="00C32E51"/>
    <w:rsid w:val="00C34117"/>
    <w:rsid w:val="00C518C1"/>
    <w:rsid w:val="00C6162A"/>
    <w:rsid w:val="00C74689"/>
    <w:rsid w:val="00C94365"/>
    <w:rsid w:val="00CC03D3"/>
    <w:rsid w:val="00CC624E"/>
    <w:rsid w:val="00CC7CA5"/>
    <w:rsid w:val="00CD6D00"/>
    <w:rsid w:val="00D020A8"/>
    <w:rsid w:val="00D022B1"/>
    <w:rsid w:val="00D15386"/>
    <w:rsid w:val="00D163A8"/>
    <w:rsid w:val="00D42183"/>
    <w:rsid w:val="00D62797"/>
    <w:rsid w:val="00D64281"/>
    <w:rsid w:val="00D665B6"/>
    <w:rsid w:val="00D75B33"/>
    <w:rsid w:val="00D831DA"/>
    <w:rsid w:val="00D958AD"/>
    <w:rsid w:val="00DA3F47"/>
    <w:rsid w:val="00DB2B8A"/>
    <w:rsid w:val="00DC6783"/>
    <w:rsid w:val="00DE0356"/>
    <w:rsid w:val="00DE2C36"/>
    <w:rsid w:val="00DF5B03"/>
    <w:rsid w:val="00E47B8E"/>
    <w:rsid w:val="00E84B80"/>
    <w:rsid w:val="00E9401A"/>
    <w:rsid w:val="00EB22AF"/>
    <w:rsid w:val="00ED075F"/>
    <w:rsid w:val="00F07C9B"/>
    <w:rsid w:val="00F11073"/>
    <w:rsid w:val="00F12490"/>
    <w:rsid w:val="00F307F6"/>
    <w:rsid w:val="00F57D40"/>
    <w:rsid w:val="00FA2C93"/>
    <w:rsid w:val="00FB7D0F"/>
    <w:rsid w:val="00FD4C4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14E79"/>
  <w15:chartTrackingRefBased/>
  <w15:docId w15:val="{1539C56B-D044-43FA-8D4D-D8C60E0E5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lsdException w:name="heading 1" w:locked="0"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locked="0"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1671A"/>
    <w:pPr>
      <w:spacing w:after="0" w:line="240" w:lineRule="auto"/>
    </w:pPr>
    <w:rPr>
      <w:rFonts w:ascii="Arial" w:eastAsia="Times" w:hAnsi="Arial" w:cs="Times New Roman"/>
      <w:sz w:val="20"/>
      <w:szCs w:val="20"/>
      <w:lang w:val="de-DE" w:eastAsia="de-DE"/>
    </w:rPr>
  </w:style>
  <w:style w:type="paragraph" w:styleId="Heading1">
    <w:name w:val="heading 1"/>
    <w:basedOn w:val="Normal"/>
    <w:next w:val="Normal"/>
    <w:link w:val="Heading1Char"/>
    <w:uiPriority w:val="9"/>
    <w:locked/>
    <w:rsid w:val="000F728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0F7286"/>
    <w:pPr>
      <w:tabs>
        <w:tab w:val="center" w:pos="4513"/>
        <w:tab w:val="right" w:pos="9026"/>
      </w:tabs>
    </w:pPr>
  </w:style>
  <w:style w:type="character" w:customStyle="1" w:styleId="HeaderChar">
    <w:name w:val="Header Char"/>
    <w:basedOn w:val="DefaultParagraphFont"/>
    <w:link w:val="Header"/>
    <w:uiPriority w:val="99"/>
    <w:rsid w:val="000F7286"/>
  </w:style>
  <w:style w:type="paragraph" w:styleId="Footer">
    <w:name w:val="footer"/>
    <w:basedOn w:val="Normal"/>
    <w:link w:val="FooterChar"/>
    <w:uiPriority w:val="99"/>
    <w:unhideWhenUsed/>
    <w:locked/>
    <w:rsid w:val="000F7286"/>
    <w:pPr>
      <w:tabs>
        <w:tab w:val="center" w:pos="4513"/>
        <w:tab w:val="right" w:pos="9026"/>
      </w:tabs>
    </w:pPr>
  </w:style>
  <w:style w:type="character" w:customStyle="1" w:styleId="FooterChar">
    <w:name w:val="Footer Char"/>
    <w:basedOn w:val="DefaultParagraphFont"/>
    <w:link w:val="Footer"/>
    <w:uiPriority w:val="99"/>
    <w:rsid w:val="000F7286"/>
  </w:style>
  <w:style w:type="character" w:customStyle="1" w:styleId="Heading1Char">
    <w:name w:val="Heading 1 Char"/>
    <w:basedOn w:val="DefaultParagraphFont"/>
    <w:link w:val="Heading1"/>
    <w:uiPriority w:val="9"/>
    <w:rsid w:val="000F728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locked/>
    <w:rsid w:val="000F7286"/>
    <w:pPr>
      <w:outlineLvl w:val="9"/>
    </w:pPr>
    <w:rPr>
      <w:lang w:val="en-US"/>
    </w:rPr>
  </w:style>
  <w:style w:type="character" w:styleId="Hyperlink">
    <w:name w:val="Hyperlink"/>
    <w:basedOn w:val="DefaultParagraphFont"/>
    <w:uiPriority w:val="99"/>
    <w:unhideWhenUsed/>
    <w:locked/>
    <w:rsid w:val="000F7286"/>
    <w:rPr>
      <w:color w:val="0000FF"/>
      <w:u w:val="single"/>
    </w:rPr>
  </w:style>
  <w:style w:type="paragraph" w:styleId="ListParagraph">
    <w:name w:val="List Paragraph"/>
    <w:basedOn w:val="Normal"/>
    <w:uiPriority w:val="34"/>
    <w:qFormat/>
    <w:locked/>
    <w:rsid w:val="00630609"/>
    <w:pPr>
      <w:ind w:left="720"/>
      <w:contextualSpacing/>
    </w:pPr>
    <w:rPr>
      <w:rFonts w:eastAsia="Times New Roman"/>
      <w:sz w:val="24"/>
      <w:szCs w:val="24"/>
      <w:lang w:val="en-GB" w:eastAsia="en-GB"/>
    </w:rPr>
  </w:style>
  <w:style w:type="table" w:styleId="TableGrid">
    <w:name w:val="Table Grid"/>
    <w:basedOn w:val="TableNormal"/>
    <w:uiPriority w:val="39"/>
    <w:locked/>
    <w:rsid w:val="00000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locked/>
    <w:rsid w:val="00000745"/>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customStyle="1" w:styleId="CEPEHeading1">
    <w:name w:val="CEPE Heading 1"/>
    <w:basedOn w:val="Normal"/>
    <w:qFormat/>
    <w:rsid w:val="005C5916"/>
    <w:pPr>
      <w:jc w:val="center"/>
    </w:pPr>
    <w:rPr>
      <w:rFonts w:ascii="Calibri" w:hAnsi="Calibri"/>
      <w:color w:val="2F5496" w:themeColor="accent1" w:themeShade="BF"/>
      <w:sz w:val="44"/>
      <w:szCs w:val="28"/>
      <w:lang w:val="en-GB"/>
    </w:rPr>
  </w:style>
  <w:style w:type="paragraph" w:customStyle="1" w:styleId="CEPEtext">
    <w:name w:val="CEPE text"/>
    <w:basedOn w:val="Normal"/>
    <w:link w:val="CEPEtextChar"/>
    <w:qFormat/>
    <w:rsid w:val="00BE4A59"/>
    <w:pPr>
      <w:jc w:val="both"/>
    </w:pPr>
    <w:rPr>
      <w:rFonts w:asciiTheme="minorHAnsi" w:hAnsiTheme="minorHAnsi"/>
      <w:sz w:val="22"/>
    </w:rPr>
  </w:style>
  <w:style w:type="table" w:customStyle="1" w:styleId="CEPETable">
    <w:name w:val="CEPE Table"/>
    <w:basedOn w:val="TableNormal"/>
    <w:uiPriority w:val="99"/>
    <w:rsid w:val="00BE4A59"/>
    <w:pPr>
      <w:spacing w:after="0" w:line="240" w:lineRule="auto"/>
    </w:pPr>
    <w:tblPr>
      <w:tblBorders>
        <w:top w:val="single" w:sz="4" w:space="0" w:color="81CFE0"/>
        <w:left w:val="single" w:sz="4" w:space="0" w:color="81CFE0"/>
        <w:bottom w:val="single" w:sz="4" w:space="0" w:color="81CFE0"/>
        <w:right w:val="single" w:sz="4" w:space="0" w:color="81CFE0"/>
        <w:insideH w:val="single" w:sz="4" w:space="0" w:color="81CFE0"/>
        <w:insideV w:val="single" w:sz="4" w:space="0" w:color="81CFE0"/>
      </w:tblBorders>
    </w:tblPr>
    <w:tcPr>
      <w:shd w:val="clear" w:color="auto" w:fill="auto"/>
      <w:vAlign w:val="center"/>
    </w:tcPr>
  </w:style>
  <w:style w:type="numbering" w:customStyle="1" w:styleId="CEPEListbullets">
    <w:name w:val="CEPE List bullets"/>
    <w:basedOn w:val="NoList"/>
    <w:uiPriority w:val="99"/>
    <w:rsid w:val="00BE4A59"/>
    <w:pPr>
      <w:numPr>
        <w:numId w:val="5"/>
      </w:numPr>
    </w:pPr>
  </w:style>
  <w:style w:type="numbering" w:customStyle="1" w:styleId="Style1">
    <w:name w:val="Style1"/>
    <w:basedOn w:val="NoList"/>
    <w:uiPriority w:val="99"/>
    <w:rsid w:val="0011671A"/>
    <w:pPr>
      <w:numPr>
        <w:numId w:val="12"/>
      </w:numPr>
    </w:pPr>
  </w:style>
  <w:style w:type="paragraph" w:customStyle="1" w:styleId="CEPEAGENDASUBtitle">
    <w:name w:val="CEPE AGENDA SUBtitle"/>
    <w:basedOn w:val="CEPEtext"/>
    <w:link w:val="CEPEAGENDASUBtitleChar"/>
    <w:qFormat/>
    <w:rsid w:val="00733766"/>
    <w:pPr>
      <w:numPr>
        <w:numId w:val="13"/>
      </w:numPr>
    </w:pPr>
    <w:rPr>
      <w:bCs/>
      <w:color w:val="2F5496" w:themeColor="accent1" w:themeShade="BF"/>
      <w:sz w:val="24"/>
      <w:szCs w:val="22"/>
    </w:rPr>
  </w:style>
  <w:style w:type="paragraph" w:styleId="ListBullet">
    <w:name w:val="List Bullet"/>
    <w:basedOn w:val="Normal"/>
    <w:uiPriority w:val="99"/>
    <w:semiHidden/>
    <w:unhideWhenUsed/>
    <w:locked/>
    <w:rsid w:val="0011671A"/>
    <w:pPr>
      <w:numPr>
        <w:numId w:val="14"/>
      </w:numPr>
      <w:contextualSpacing/>
    </w:pPr>
    <w:rPr>
      <w:rFonts w:asciiTheme="minorHAnsi" w:hAnsiTheme="minorHAnsi"/>
      <w:color w:val="000066"/>
    </w:rPr>
  </w:style>
  <w:style w:type="paragraph" w:styleId="Title">
    <w:name w:val="Title"/>
    <w:basedOn w:val="Normal"/>
    <w:next w:val="Normal"/>
    <w:link w:val="TitleChar"/>
    <w:uiPriority w:val="10"/>
    <w:locked/>
    <w:rsid w:val="008E0AF6"/>
    <w:pPr>
      <w:contextualSpacing/>
    </w:pPr>
    <w:rPr>
      <w:rFonts w:asciiTheme="majorHAnsi" w:eastAsiaTheme="majorEastAsia" w:hAnsiTheme="majorHAnsi" w:cstheme="majorBidi"/>
      <w:spacing w:val="-10"/>
      <w:kern w:val="28"/>
      <w:sz w:val="56"/>
      <w:szCs w:val="56"/>
    </w:rPr>
  </w:style>
  <w:style w:type="character" w:customStyle="1" w:styleId="CEPEtextChar">
    <w:name w:val="CEPE text Char"/>
    <w:basedOn w:val="DefaultParagraphFont"/>
    <w:link w:val="CEPEtext"/>
    <w:rsid w:val="0011671A"/>
    <w:rPr>
      <w:rFonts w:eastAsia="Times" w:cs="Times New Roman"/>
      <w:szCs w:val="20"/>
      <w:lang w:val="de-DE" w:eastAsia="de-DE"/>
    </w:rPr>
  </w:style>
  <w:style w:type="character" w:customStyle="1" w:styleId="CEPEAGENDASUBtitleChar">
    <w:name w:val="CEPE AGENDA SUBtitle Char"/>
    <w:basedOn w:val="CEPEtextChar"/>
    <w:link w:val="CEPEAGENDASUBtitle"/>
    <w:rsid w:val="00733766"/>
    <w:rPr>
      <w:rFonts w:eastAsia="Times" w:cs="Times New Roman"/>
      <w:bCs/>
      <w:color w:val="2F5496" w:themeColor="accent1" w:themeShade="BF"/>
      <w:sz w:val="24"/>
      <w:szCs w:val="20"/>
      <w:lang w:val="de-DE" w:eastAsia="de-DE"/>
    </w:rPr>
  </w:style>
  <w:style w:type="character" w:customStyle="1" w:styleId="TitleChar">
    <w:name w:val="Title Char"/>
    <w:basedOn w:val="DefaultParagraphFont"/>
    <w:link w:val="Title"/>
    <w:uiPriority w:val="10"/>
    <w:rsid w:val="008E0AF6"/>
    <w:rPr>
      <w:rFonts w:asciiTheme="majorHAnsi" w:eastAsiaTheme="majorEastAsia" w:hAnsiTheme="majorHAnsi" w:cstheme="majorBidi"/>
      <w:spacing w:val="-10"/>
      <w:kern w:val="28"/>
      <w:sz w:val="56"/>
      <w:szCs w:val="56"/>
      <w:lang w:val="de-DE" w:eastAsia="de-DE"/>
    </w:rPr>
  </w:style>
  <w:style w:type="character" w:styleId="SubtleEmphasis">
    <w:name w:val="Subtle Emphasis"/>
    <w:basedOn w:val="DefaultParagraphFont"/>
    <w:uiPriority w:val="19"/>
    <w:locked/>
    <w:rsid w:val="008E0AF6"/>
    <w:rPr>
      <w:i/>
      <w:iCs/>
      <w:color w:val="404040" w:themeColor="text1" w:themeTint="BF"/>
    </w:rPr>
  </w:style>
  <w:style w:type="paragraph" w:customStyle="1" w:styleId="CEPE2ndheader">
    <w:name w:val="CEPE 2nd header"/>
    <w:basedOn w:val="Normal"/>
    <w:link w:val="CEPE2ndheaderChar"/>
    <w:qFormat/>
    <w:rsid w:val="00DE0356"/>
    <w:rPr>
      <w:rFonts w:asciiTheme="minorHAnsi" w:eastAsia="Times New Roman" w:hAnsiTheme="minorHAnsi" w:cs="Arial"/>
      <w:color w:val="2F5496" w:themeColor="accent1" w:themeShade="BF"/>
      <w:sz w:val="28"/>
      <w:szCs w:val="28"/>
      <w:lang w:val="en-GB" w:eastAsia="en-GB"/>
    </w:rPr>
  </w:style>
  <w:style w:type="character" w:customStyle="1" w:styleId="CEPE2ndheaderChar">
    <w:name w:val="CEPE 2nd header Char"/>
    <w:basedOn w:val="DefaultParagraphFont"/>
    <w:link w:val="CEPE2ndheader"/>
    <w:rsid w:val="00DE0356"/>
    <w:rPr>
      <w:rFonts w:eastAsia="Times New Roman" w:cs="Arial"/>
      <w:color w:val="2F5496" w:themeColor="accent1" w:themeShade="BF"/>
      <w:sz w:val="28"/>
      <w:szCs w:val="28"/>
      <w:lang w:val="en-GB" w:eastAsia="en-GB"/>
    </w:rPr>
  </w:style>
  <w:style w:type="paragraph" w:customStyle="1" w:styleId="CEPEbullet">
    <w:name w:val="CEPE bullet"/>
    <w:basedOn w:val="CEPEtext"/>
    <w:link w:val="CEPEbulletChar"/>
    <w:qFormat/>
    <w:rsid w:val="008E0CBF"/>
    <w:pPr>
      <w:numPr>
        <w:numId w:val="30"/>
      </w:numPr>
    </w:pPr>
  </w:style>
  <w:style w:type="character" w:customStyle="1" w:styleId="CEPEbulletChar">
    <w:name w:val="CEPE bullet Char"/>
    <w:basedOn w:val="CEPEtextChar"/>
    <w:link w:val="CEPEbullet"/>
    <w:rsid w:val="008E0CBF"/>
    <w:rPr>
      <w:rFonts w:eastAsia="Times" w:cs="Times New Roman"/>
      <w:szCs w:val="20"/>
      <w:lang w:val="de-DE" w:eastAsia="de-DE"/>
    </w:rPr>
  </w:style>
  <w:style w:type="paragraph" w:styleId="NoSpacing">
    <w:name w:val="No Spacing"/>
    <w:uiPriority w:val="1"/>
    <w:qFormat/>
    <w:locked/>
    <w:rsid w:val="002367F8"/>
    <w:pPr>
      <w:spacing w:after="0" w:line="240" w:lineRule="auto"/>
    </w:pPr>
    <w:rPr>
      <w:rFonts w:ascii="Arial" w:eastAsia="Times" w:hAnsi="Arial" w:cs="Times New Roman"/>
      <w:sz w:val="20"/>
      <w:szCs w:val="20"/>
      <w:lang w:val="de-DE" w:eastAsia="de-DE"/>
    </w:rPr>
  </w:style>
  <w:style w:type="character" w:styleId="UnresolvedMention">
    <w:name w:val="Unresolved Mention"/>
    <w:basedOn w:val="DefaultParagraphFont"/>
    <w:uiPriority w:val="99"/>
    <w:semiHidden/>
    <w:unhideWhenUsed/>
    <w:locked/>
    <w:rsid w:val="00CC03D3"/>
    <w:rPr>
      <w:color w:val="605E5C"/>
      <w:shd w:val="clear" w:color="auto" w:fill="E1DFDD"/>
    </w:rPr>
  </w:style>
  <w:style w:type="character" w:customStyle="1" w:styleId="markedcontent">
    <w:name w:val="markedcontent"/>
    <w:basedOn w:val="DefaultParagraphFont"/>
    <w:rsid w:val="00A94555"/>
  </w:style>
  <w:style w:type="paragraph" w:styleId="FootnoteText">
    <w:name w:val="footnote text"/>
    <w:basedOn w:val="Normal"/>
    <w:link w:val="FootnoteTextChar"/>
    <w:uiPriority w:val="99"/>
    <w:semiHidden/>
    <w:unhideWhenUsed/>
    <w:locked/>
    <w:rsid w:val="00A94555"/>
    <w:rPr>
      <w:rFonts w:asciiTheme="minorHAnsi" w:eastAsiaTheme="minorHAnsi" w:hAnsiTheme="minorHAnsi" w:cstheme="minorBidi"/>
      <w:lang w:val="nl-NL" w:eastAsia="en-US"/>
    </w:rPr>
  </w:style>
  <w:style w:type="character" w:customStyle="1" w:styleId="FootnoteTextChar">
    <w:name w:val="Footnote Text Char"/>
    <w:basedOn w:val="DefaultParagraphFont"/>
    <w:link w:val="FootnoteText"/>
    <w:uiPriority w:val="99"/>
    <w:semiHidden/>
    <w:rsid w:val="00A94555"/>
    <w:rPr>
      <w:sz w:val="20"/>
      <w:szCs w:val="20"/>
      <w:lang w:val="nl-NL"/>
    </w:rPr>
  </w:style>
  <w:style w:type="character" w:styleId="FootnoteReference">
    <w:name w:val="footnote reference"/>
    <w:basedOn w:val="DefaultParagraphFont"/>
    <w:uiPriority w:val="99"/>
    <w:semiHidden/>
    <w:unhideWhenUsed/>
    <w:locked/>
    <w:rsid w:val="00A945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489112">
      <w:bodyDiv w:val="1"/>
      <w:marLeft w:val="0"/>
      <w:marRight w:val="0"/>
      <w:marTop w:val="0"/>
      <w:marBottom w:val="0"/>
      <w:divBdr>
        <w:top w:val="none" w:sz="0" w:space="0" w:color="auto"/>
        <w:left w:val="none" w:sz="0" w:space="0" w:color="auto"/>
        <w:bottom w:val="none" w:sz="0" w:space="0" w:color="auto"/>
        <w:right w:val="none" w:sz="0" w:space="0" w:color="auto"/>
      </w:divBdr>
    </w:div>
    <w:div w:id="331876698">
      <w:bodyDiv w:val="1"/>
      <w:marLeft w:val="0"/>
      <w:marRight w:val="0"/>
      <w:marTop w:val="0"/>
      <w:marBottom w:val="0"/>
      <w:divBdr>
        <w:top w:val="none" w:sz="0" w:space="0" w:color="auto"/>
        <w:left w:val="none" w:sz="0" w:space="0" w:color="auto"/>
        <w:bottom w:val="none" w:sz="0" w:space="0" w:color="auto"/>
        <w:right w:val="none" w:sz="0" w:space="0" w:color="auto"/>
      </w:divBdr>
    </w:div>
    <w:div w:id="409037459">
      <w:bodyDiv w:val="1"/>
      <w:marLeft w:val="0"/>
      <w:marRight w:val="0"/>
      <w:marTop w:val="0"/>
      <w:marBottom w:val="0"/>
      <w:divBdr>
        <w:top w:val="none" w:sz="0" w:space="0" w:color="auto"/>
        <w:left w:val="none" w:sz="0" w:space="0" w:color="auto"/>
        <w:bottom w:val="none" w:sz="0" w:space="0" w:color="auto"/>
        <w:right w:val="none" w:sz="0" w:space="0" w:color="auto"/>
      </w:divBdr>
    </w:div>
    <w:div w:id="536241362">
      <w:bodyDiv w:val="1"/>
      <w:marLeft w:val="0"/>
      <w:marRight w:val="0"/>
      <w:marTop w:val="0"/>
      <w:marBottom w:val="0"/>
      <w:divBdr>
        <w:top w:val="none" w:sz="0" w:space="0" w:color="auto"/>
        <w:left w:val="none" w:sz="0" w:space="0" w:color="auto"/>
        <w:bottom w:val="none" w:sz="0" w:space="0" w:color="auto"/>
        <w:right w:val="none" w:sz="0" w:space="0" w:color="auto"/>
      </w:divBdr>
    </w:div>
    <w:div w:id="578249198">
      <w:bodyDiv w:val="1"/>
      <w:marLeft w:val="0"/>
      <w:marRight w:val="0"/>
      <w:marTop w:val="0"/>
      <w:marBottom w:val="0"/>
      <w:divBdr>
        <w:top w:val="none" w:sz="0" w:space="0" w:color="auto"/>
        <w:left w:val="none" w:sz="0" w:space="0" w:color="auto"/>
        <w:bottom w:val="none" w:sz="0" w:space="0" w:color="auto"/>
        <w:right w:val="none" w:sz="0" w:space="0" w:color="auto"/>
      </w:divBdr>
    </w:div>
    <w:div w:id="843208428">
      <w:bodyDiv w:val="1"/>
      <w:marLeft w:val="0"/>
      <w:marRight w:val="0"/>
      <w:marTop w:val="0"/>
      <w:marBottom w:val="0"/>
      <w:divBdr>
        <w:top w:val="none" w:sz="0" w:space="0" w:color="auto"/>
        <w:left w:val="none" w:sz="0" w:space="0" w:color="auto"/>
        <w:bottom w:val="none" w:sz="0" w:space="0" w:color="auto"/>
        <w:right w:val="none" w:sz="0" w:space="0" w:color="auto"/>
      </w:divBdr>
    </w:div>
    <w:div w:id="1115710137">
      <w:bodyDiv w:val="1"/>
      <w:marLeft w:val="0"/>
      <w:marRight w:val="0"/>
      <w:marTop w:val="0"/>
      <w:marBottom w:val="0"/>
      <w:divBdr>
        <w:top w:val="none" w:sz="0" w:space="0" w:color="auto"/>
        <w:left w:val="none" w:sz="0" w:space="0" w:color="auto"/>
        <w:bottom w:val="none" w:sz="0" w:space="0" w:color="auto"/>
        <w:right w:val="none" w:sz="0" w:space="0" w:color="auto"/>
      </w:divBdr>
    </w:div>
    <w:div w:id="1389835882">
      <w:bodyDiv w:val="1"/>
      <w:marLeft w:val="0"/>
      <w:marRight w:val="0"/>
      <w:marTop w:val="0"/>
      <w:marBottom w:val="0"/>
      <w:divBdr>
        <w:top w:val="none" w:sz="0" w:space="0" w:color="auto"/>
        <w:left w:val="none" w:sz="0" w:space="0" w:color="auto"/>
        <w:bottom w:val="none" w:sz="0" w:space="0" w:color="auto"/>
        <w:right w:val="none" w:sz="0" w:space="0" w:color="auto"/>
      </w:divBdr>
    </w:div>
    <w:div w:id="1560241441">
      <w:bodyDiv w:val="1"/>
      <w:marLeft w:val="0"/>
      <w:marRight w:val="0"/>
      <w:marTop w:val="0"/>
      <w:marBottom w:val="0"/>
      <w:divBdr>
        <w:top w:val="none" w:sz="0" w:space="0" w:color="auto"/>
        <w:left w:val="none" w:sz="0" w:space="0" w:color="auto"/>
        <w:bottom w:val="none" w:sz="0" w:space="0" w:color="auto"/>
        <w:right w:val="none" w:sz="0" w:space="0" w:color="auto"/>
      </w:divBdr>
    </w:div>
    <w:div w:id="176384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cepe.org" TargetMode="External"/><Relationship Id="rId1" Type="http://schemas.openxmlformats.org/officeDocument/2006/relationships/hyperlink" Target="http://www.cepe.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rontiersin.org/articles/10.3389/fmars.2022.1074654/fu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90dfa4c-49e1-43f1-bcd9-deaa524f29a1">
      <Terms xmlns="http://schemas.microsoft.com/office/infopath/2007/PartnerControls"/>
    </lcf76f155ced4ddcb4097134ff3c332f>
    <TaxCatchAll xmlns="1c7b65e7-2535-4b86-9891-9e0dc6fafd8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5055359E6972F44AC01DC7D13BAFDA8" ma:contentTypeVersion="13" ma:contentTypeDescription="Create a new document." ma:contentTypeScope="" ma:versionID="c83a22b3588309effde567dfc398a3ec">
  <xsd:schema xmlns:xsd="http://www.w3.org/2001/XMLSchema" xmlns:xs="http://www.w3.org/2001/XMLSchema" xmlns:p="http://schemas.microsoft.com/office/2006/metadata/properties" xmlns:ns2="190dfa4c-49e1-43f1-bcd9-deaa524f29a1" xmlns:ns3="1c7b65e7-2535-4b86-9891-9e0dc6fafd88" targetNamespace="http://schemas.microsoft.com/office/2006/metadata/properties" ma:root="true" ma:fieldsID="892cd4c9b37cf54f6980999ae4bc29ae" ns2:_="" ns3:_="">
    <xsd:import namespace="190dfa4c-49e1-43f1-bcd9-deaa524f29a1"/>
    <xsd:import namespace="1c7b65e7-2535-4b86-9891-9e0dc6fafd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dfa4c-49e1-43f1-bcd9-deaa524f29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f1a5b94-3be2-4e66-b137-9fd77dbd3f2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7b65e7-2535-4b86-9891-9e0dc6fafd8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39e4f4a-837b-4929-b387-60dece551898}" ma:internalName="TaxCatchAll" ma:showField="CatchAllData" ma:web="1c7b65e7-2535-4b86-9891-9e0dc6fafd8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353AA6-D3FD-43CA-8709-18F1AFA6EC5B}">
  <ds:schemaRefs>
    <ds:schemaRef ds:uri="http://schemas.openxmlformats.org/officeDocument/2006/bibliography"/>
  </ds:schemaRefs>
</ds:datastoreItem>
</file>

<file path=customXml/itemProps2.xml><?xml version="1.0" encoding="utf-8"?>
<ds:datastoreItem xmlns:ds="http://schemas.openxmlformats.org/officeDocument/2006/customXml" ds:itemID="{DBE3C67F-E527-42F7-940A-D7AB23F69279}">
  <ds:schemaRefs>
    <ds:schemaRef ds:uri="http://schemas.microsoft.com/office/2006/metadata/properties"/>
    <ds:schemaRef ds:uri="http://schemas.microsoft.com/office/infopath/2007/PartnerControls"/>
    <ds:schemaRef ds:uri="190dfa4c-49e1-43f1-bcd9-deaa524f29a1"/>
    <ds:schemaRef ds:uri="1c7b65e7-2535-4b86-9891-9e0dc6fafd88"/>
  </ds:schemaRefs>
</ds:datastoreItem>
</file>

<file path=customXml/itemProps3.xml><?xml version="1.0" encoding="utf-8"?>
<ds:datastoreItem xmlns:ds="http://schemas.openxmlformats.org/officeDocument/2006/customXml" ds:itemID="{A0EA5F30-D1FE-4AEC-B784-9313F9FCDAD1}">
  <ds:schemaRefs>
    <ds:schemaRef ds:uri="http://schemas.microsoft.com/sharepoint/v3/contenttype/forms"/>
  </ds:schemaRefs>
</ds:datastoreItem>
</file>

<file path=customXml/itemProps4.xml><?xml version="1.0" encoding="utf-8"?>
<ds:datastoreItem xmlns:ds="http://schemas.openxmlformats.org/officeDocument/2006/customXml" ds:itemID="{0C617E39-F09D-4F4F-A6A7-614EFDD36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dfa4c-49e1-43f1-bcd9-deaa524f29a1"/>
    <ds:schemaRef ds:uri="1c7b65e7-2535-4b86-9891-9e0dc6fafd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626</Words>
  <Characters>3445</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Davidson</dc:creator>
  <cp:keywords/>
  <dc:description/>
  <cp:lastModifiedBy>Christel Davidson</cp:lastModifiedBy>
  <cp:revision>4</cp:revision>
  <cp:lastPrinted>2022-04-05T15:03:00Z</cp:lastPrinted>
  <dcterms:created xsi:type="dcterms:W3CDTF">2023-04-11T14:35:00Z</dcterms:created>
  <dcterms:modified xsi:type="dcterms:W3CDTF">2023-05-30T12:33:00Z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0x010100F5055359E6972F44AC01DC7D13BAFDA8</vt:lpwstr>
  </property>
  <property fmtid="{D5CDD505-2E9C-101B-9397-08002B2CF9AE}" pid="3" name="MediaServiceImageTags">
    <vt:lpwstr/>
  </property>
</Properties>
</file>